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69" w:rsidRPr="005B41A8" w:rsidRDefault="00B52D69" w:rsidP="00B52D69">
      <w:pPr>
        <w:shd w:val="clear" w:color="auto" w:fill="1F4E79" w:themeFill="accent1" w:themeFillShade="80"/>
        <w:rPr>
          <w:sz w:val="48"/>
          <w:szCs w:val="48"/>
        </w:rPr>
      </w:pPr>
      <w:r>
        <w:rPr>
          <w:noProof/>
          <w:sz w:val="48"/>
          <w:szCs w:val="48"/>
          <w:lang w:eastAsia="fr-CA"/>
        </w:rPr>
        <w:drawing>
          <wp:anchor distT="0" distB="0" distL="114300" distR="114300" simplePos="0" relativeHeight="251659264" behindDoc="0" locked="0" layoutInCell="1" allowOverlap="1" wp14:anchorId="734CCA53" wp14:editId="63FABB93">
            <wp:simplePos x="0" y="0"/>
            <wp:positionH relativeFrom="column">
              <wp:posOffset>72000</wp:posOffset>
            </wp:positionH>
            <wp:positionV relativeFrom="paragraph">
              <wp:posOffset>158400</wp:posOffset>
            </wp:positionV>
            <wp:extent cx="3538578" cy="1029600"/>
            <wp:effectExtent l="0" t="0" r="508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RCB_logotype_cmyk_fondfon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578" cy="1029600"/>
                    </a:xfrm>
                    <a:prstGeom prst="rect">
                      <a:avLst/>
                    </a:prstGeom>
                  </pic:spPr>
                </pic:pic>
              </a:graphicData>
            </a:graphic>
          </wp:anchor>
        </w:drawing>
      </w:r>
    </w:p>
    <w:p w:rsidR="00B52D69" w:rsidRPr="005B41A8" w:rsidRDefault="00B52D69" w:rsidP="00B52D69">
      <w:pPr>
        <w:shd w:val="clear" w:color="auto" w:fill="1F4E79" w:themeFill="accent1" w:themeFillShade="80"/>
        <w:rPr>
          <w:sz w:val="48"/>
          <w:szCs w:val="48"/>
        </w:rPr>
      </w:pPr>
    </w:p>
    <w:p w:rsidR="00B52D69" w:rsidRPr="005B41A8" w:rsidRDefault="00B52D69" w:rsidP="00B52D69">
      <w:pPr>
        <w:shd w:val="clear" w:color="auto" w:fill="1F4E79" w:themeFill="accent1" w:themeFillShade="80"/>
        <w:rPr>
          <w:sz w:val="48"/>
          <w:szCs w:val="48"/>
        </w:rPr>
      </w:pPr>
    </w:p>
    <w:p w:rsidR="00B52D69" w:rsidRDefault="00B52D69" w:rsidP="00B52D69">
      <w:pPr>
        <w:shd w:val="clear" w:color="auto" w:fill="1F4E79" w:themeFill="accent1" w:themeFillShade="80"/>
        <w:rPr>
          <w:sz w:val="48"/>
          <w:szCs w:val="48"/>
        </w:rPr>
      </w:pPr>
    </w:p>
    <w:p w:rsidR="00B52D69" w:rsidRDefault="00B52D69" w:rsidP="00B52D69">
      <w:pPr>
        <w:rPr>
          <w:sz w:val="48"/>
          <w:szCs w:val="48"/>
        </w:rPr>
      </w:pPr>
    </w:p>
    <w:p w:rsidR="00B52D69" w:rsidRDefault="00B52D69" w:rsidP="00B52D69"/>
    <w:p w:rsidR="00B52D69" w:rsidRDefault="00B52D69" w:rsidP="00B52D69">
      <w:pPr>
        <w:jc w:val="right"/>
        <w:rPr>
          <w:rFonts w:ascii="Book Antiqua" w:hAnsi="Book Antiqua"/>
          <w:sz w:val="48"/>
          <w:szCs w:val="48"/>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Default="00B52D69" w:rsidP="00B52D69">
      <w:pPr>
        <w:jc w:val="right"/>
        <w:rPr>
          <w:rFonts w:ascii="Book Antiqua" w:hAnsi="Book Antiqua"/>
          <w:sz w:val="56"/>
          <w:szCs w:val="56"/>
        </w:rPr>
      </w:pPr>
    </w:p>
    <w:p w:rsidR="00B52D69" w:rsidRPr="00C3231C" w:rsidRDefault="00B52D69" w:rsidP="00B52D69">
      <w:pPr>
        <w:jc w:val="right"/>
        <w:rPr>
          <w:rFonts w:ascii="Book Antiqua" w:hAnsi="Book Antiqua"/>
          <w:sz w:val="56"/>
          <w:szCs w:val="56"/>
        </w:rPr>
      </w:pPr>
    </w:p>
    <w:p w:rsidR="00B52D69" w:rsidRPr="00C3231C" w:rsidRDefault="00B52D69" w:rsidP="00B52D69">
      <w:pPr>
        <w:ind w:left="-567" w:right="-716"/>
        <w:jc w:val="right"/>
        <w:rPr>
          <w:rFonts w:ascii="Book Antiqua" w:hAnsi="Book Antiqua"/>
          <w:b/>
          <w:i/>
          <w:sz w:val="56"/>
          <w:szCs w:val="56"/>
        </w:rPr>
      </w:pPr>
      <w:r w:rsidRPr="00C3231C">
        <w:rPr>
          <w:rFonts w:ascii="Book Antiqua" w:hAnsi="Book Antiqua"/>
          <w:sz w:val="56"/>
          <w:szCs w:val="56"/>
        </w:rPr>
        <w:t>Politique de Soutien aux Entreprises</w:t>
      </w:r>
    </w:p>
    <w:p w:rsidR="00B52D69" w:rsidRDefault="00B52D69" w:rsidP="00F00511">
      <w:pPr>
        <w:ind w:left="851" w:right="-716"/>
        <w:jc w:val="right"/>
        <w:rPr>
          <w:rFonts w:ascii="Book Antiqua" w:hAnsi="Book Antiqua"/>
          <w:b/>
          <w:i/>
          <w:sz w:val="36"/>
          <w:szCs w:val="36"/>
        </w:rPr>
      </w:pPr>
      <w:r>
        <w:rPr>
          <w:rFonts w:ascii="Book Antiqua" w:hAnsi="Book Antiqua"/>
          <w:b/>
          <w:i/>
          <w:sz w:val="36"/>
          <w:szCs w:val="36"/>
        </w:rPr>
        <w:t>Annexe temporaire</w:t>
      </w:r>
      <w:r w:rsidR="00F00511">
        <w:rPr>
          <w:rFonts w:ascii="Book Antiqua" w:hAnsi="Book Antiqua"/>
          <w:b/>
          <w:i/>
          <w:sz w:val="36"/>
          <w:szCs w:val="36"/>
        </w:rPr>
        <w:t xml:space="preserve"> en vigueur jusqu’au </w:t>
      </w:r>
      <w:r w:rsidR="005629D6">
        <w:rPr>
          <w:rFonts w:ascii="Book Antiqua" w:hAnsi="Book Antiqua"/>
          <w:b/>
          <w:i/>
          <w:sz w:val="36"/>
          <w:szCs w:val="36"/>
        </w:rPr>
        <w:t>30 avril</w:t>
      </w:r>
      <w:r w:rsidR="00F00511">
        <w:rPr>
          <w:rFonts w:ascii="Book Antiqua" w:hAnsi="Book Antiqua"/>
          <w:b/>
          <w:i/>
          <w:sz w:val="36"/>
          <w:szCs w:val="36"/>
        </w:rPr>
        <w:t xml:space="preserve"> 2021</w:t>
      </w:r>
    </w:p>
    <w:p w:rsidR="00B52D69" w:rsidRDefault="00B52D69" w:rsidP="00B52D69">
      <w:pPr>
        <w:ind w:right="-716"/>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left="6372"/>
        <w:rPr>
          <w:rFonts w:ascii="Book Antiqua" w:hAnsi="Book Antiqua"/>
          <w:b/>
          <w:i/>
          <w:sz w:val="36"/>
          <w:szCs w:val="36"/>
        </w:rPr>
      </w:pPr>
    </w:p>
    <w:p w:rsidR="00B52D69" w:rsidRDefault="00B52D69" w:rsidP="00B52D69">
      <w:pPr>
        <w:ind w:right="-716"/>
        <w:jc w:val="right"/>
        <w:rPr>
          <w:rFonts w:ascii="Book Antiqua" w:hAnsi="Book Antiqua"/>
          <w:b/>
          <w:i/>
          <w:sz w:val="24"/>
          <w:szCs w:val="24"/>
        </w:rPr>
      </w:pPr>
      <w:r>
        <w:rPr>
          <w:rFonts w:ascii="Book Antiqua" w:hAnsi="Book Antiqua"/>
          <w:b/>
          <w:i/>
          <w:sz w:val="24"/>
          <w:szCs w:val="24"/>
        </w:rPr>
        <w:t>Dernières modifications : 15 avril 2020</w:t>
      </w:r>
    </w:p>
    <w:p w:rsidR="00B52D69" w:rsidRDefault="00BA59AE" w:rsidP="00B52D69">
      <w:pPr>
        <w:ind w:right="-716"/>
        <w:jc w:val="right"/>
        <w:rPr>
          <w:rFonts w:ascii="Book Antiqua" w:hAnsi="Book Antiqua"/>
          <w:b/>
          <w:i/>
          <w:sz w:val="24"/>
          <w:szCs w:val="24"/>
        </w:rPr>
      </w:pPr>
      <w:r>
        <w:rPr>
          <w:rFonts w:ascii="Book Antiqua" w:hAnsi="Book Antiqua"/>
          <w:b/>
          <w:i/>
          <w:sz w:val="24"/>
          <w:szCs w:val="24"/>
        </w:rPr>
        <w:t xml:space="preserve">Entériné au </w:t>
      </w:r>
      <w:r w:rsidR="00B52D69">
        <w:rPr>
          <w:rFonts w:ascii="Book Antiqua" w:hAnsi="Book Antiqua"/>
          <w:b/>
          <w:i/>
          <w:sz w:val="24"/>
          <w:szCs w:val="24"/>
        </w:rPr>
        <w:t>Comité d’Investissement Commun</w:t>
      </w:r>
      <w:r w:rsidR="009B4DBC">
        <w:rPr>
          <w:rFonts w:ascii="Book Antiqua" w:hAnsi="Book Antiqua"/>
          <w:b/>
          <w:i/>
          <w:sz w:val="24"/>
          <w:szCs w:val="24"/>
        </w:rPr>
        <w:t xml:space="preserve"> et Conseil des maires</w:t>
      </w:r>
      <w:r w:rsidR="00B52D69">
        <w:rPr>
          <w:rFonts w:ascii="Book Antiqua" w:hAnsi="Book Antiqua"/>
          <w:b/>
          <w:i/>
          <w:sz w:val="24"/>
          <w:szCs w:val="24"/>
        </w:rPr>
        <w:t xml:space="preserve"> du 15 avril 2020</w:t>
      </w:r>
    </w:p>
    <w:p w:rsidR="00D01346" w:rsidRPr="00520682" w:rsidRDefault="00D01346" w:rsidP="00B52D69">
      <w:pPr>
        <w:ind w:right="-716"/>
        <w:jc w:val="right"/>
        <w:rPr>
          <w:rFonts w:ascii="Book Antiqua" w:hAnsi="Book Antiqua"/>
          <w:b/>
          <w:i/>
          <w:sz w:val="24"/>
          <w:szCs w:val="24"/>
        </w:rPr>
      </w:pPr>
    </w:p>
    <w:p w:rsidR="00B52D69" w:rsidRDefault="00B52D69" w:rsidP="00B52D69">
      <w:pPr>
        <w:rPr>
          <w:rFonts w:ascii="Book Antiqua" w:hAnsi="Book Antiqua"/>
          <w:b/>
          <w:i/>
          <w:sz w:val="24"/>
          <w:szCs w:val="24"/>
        </w:rPr>
      </w:pPr>
      <w:r>
        <w:rPr>
          <w:rFonts w:ascii="Book Antiqua" w:hAnsi="Book Antiqua"/>
          <w:b/>
          <w:i/>
          <w:sz w:val="24"/>
          <w:szCs w:val="24"/>
        </w:rPr>
        <w:br w:type="page"/>
      </w:r>
    </w:p>
    <w:p w:rsidR="00693625" w:rsidRPr="00987E00" w:rsidRDefault="00A3466D" w:rsidP="00B52D69">
      <w:pPr>
        <w:spacing w:after="160" w:line="259" w:lineRule="auto"/>
        <w:ind w:right="-99"/>
        <w:rPr>
          <w:rFonts w:ascii="Garamond" w:hAnsi="Garamond" w:cs="Arial"/>
          <w:b/>
          <w:bCs/>
          <w:iCs/>
          <w:sz w:val="24"/>
          <w:szCs w:val="24"/>
          <w:u w:val="single"/>
        </w:rPr>
      </w:pPr>
      <w:r>
        <w:rPr>
          <w:rFonts w:ascii="Garamond" w:hAnsi="Garamond" w:cs="Arial"/>
          <w:b/>
          <w:bCs/>
          <w:iCs/>
          <w:sz w:val="24"/>
          <w:szCs w:val="24"/>
          <w:u w:val="single"/>
        </w:rPr>
        <w:lastRenderedPageBreak/>
        <w:t xml:space="preserve">PROGRAMME </w:t>
      </w:r>
      <w:r w:rsidR="00987E00" w:rsidRPr="00987E00">
        <w:rPr>
          <w:rFonts w:ascii="Garamond" w:hAnsi="Garamond" w:cs="Arial"/>
          <w:b/>
          <w:bCs/>
          <w:iCs/>
          <w:sz w:val="24"/>
          <w:szCs w:val="24"/>
          <w:u w:val="single"/>
        </w:rPr>
        <w:t>AIDE D’URGENCE AUX PETITES ET MOYENNES ENTREPRISES VIA LES FONDS LOCAUX D’INVESTISSEMENTS (FLI)</w:t>
      </w:r>
    </w:p>
    <w:p w:rsidR="00A3466D" w:rsidRPr="00A3466D" w:rsidRDefault="00A3466D" w:rsidP="00A3466D">
      <w:pPr>
        <w:pStyle w:val="Titre3"/>
        <w:numPr>
          <w:ilvl w:val="0"/>
          <w:numId w:val="7"/>
        </w:numPr>
        <w:rPr>
          <w:u w:val="single"/>
        </w:rPr>
      </w:pPr>
      <w:r>
        <w:rPr>
          <w:u w:val="single"/>
        </w:rPr>
        <w:t>Objectif</w:t>
      </w:r>
    </w:p>
    <w:p w:rsidR="00A3466D" w:rsidRDefault="00A3466D" w:rsidP="00987E00">
      <w:pPr>
        <w:pStyle w:val="NormalWeb"/>
        <w:spacing w:before="180" w:beforeAutospacing="0" w:after="180" w:afterAutospacing="0" w:line="300" w:lineRule="atLeast"/>
        <w:jc w:val="both"/>
        <w:rPr>
          <w:rFonts w:ascii="Garamond" w:eastAsia="Times New Roman" w:hAnsi="Garamond"/>
          <w:lang w:eastAsia="fr-FR"/>
        </w:rPr>
      </w:pPr>
      <w:r w:rsidRPr="00A3466D">
        <w:rPr>
          <w:rFonts w:ascii="Garamond" w:eastAsia="Times New Roman" w:hAnsi="Garamond"/>
          <w:lang w:eastAsia="fr-FR"/>
        </w:rPr>
        <w:t>Le programme Aide d’urgence aux petites et moyennes entreprises vise à favoriser l’accès à des</w:t>
      </w:r>
      <w:r w:rsidRPr="00A3466D">
        <w:rPr>
          <w:rFonts w:ascii="Garamond" w:eastAsia="Times New Roman" w:hAnsi="Garamond"/>
          <w:lang w:eastAsia="fr-FR"/>
        </w:rPr>
        <w:br/>
        <w:t>capitaux pour maintenir, consolider ou relancer les activités des entreprises affectées par la</w:t>
      </w:r>
      <w:r w:rsidRPr="00A3466D">
        <w:rPr>
          <w:rFonts w:ascii="Garamond" w:eastAsia="Times New Roman" w:hAnsi="Garamond"/>
          <w:lang w:eastAsia="fr-FR"/>
        </w:rPr>
        <w:br/>
        <w:t>pandémie de la COVID-19. Ce programme s’inscrit dans le contexte d’une situation économique</w:t>
      </w:r>
      <w:r>
        <w:rPr>
          <w:rFonts w:ascii="Garamond" w:eastAsia="Times New Roman" w:hAnsi="Garamond"/>
          <w:lang w:eastAsia="fr-FR"/>
        </w:rPr>
        <w:t xml:space="preserve"> </w:t>
      </w:r>
      <w:r w:rsidRPr="00A3466D">
        <w:rPr>
          <w:rFonts w:ascii="Garamond" w:eastAsia="Times New Roman" w:hAnsi="Garamond"/>
          <w:lang w:eastAsia="fr-FR"/>
        </w:rPr>
        <w:t xml:space="preserve">exceptionnelle et circonstancielle </w:t>
      </w:r>
    </w:p>
    <w:p w:rsidR="00987E00" w:rsidRPr="009E2DC6" w:rsidRDefault="00987E00" w:rsidP="00987E00">
      <w:pPr>
        <w:pStyle w:val="Titre3"/>
        <w:numPr>
          <w:ilvl w:val="0"/>
          <w:numId w:val="7"/>
        </w:numPr>
        <w:rPr>
          <w:u w:val="single"/>
        </w:rPr>
      </w:pPr>
      <w:r w:rsidRPr="009E2DC6">
        <w:rPr>
          <w:u w:val="single"/>
        </w:rPr>
        <w:t>Entreprises admissibles</w:t>
      </w:r>
    </w:p>
    <w:p w:rsidR="00987E00" w:rsidRPr="00EB341C" w:rsidRDefault="00987E00" w:rsidP="00987E00"/>
    <w:p w:rsidR="00A3466D" w:rsidRDefault="00A3466D" w:rsidP="00A3466D">
      <w:pPr>
        <w:spacing w:line="312" w:lineRule="auto"/>
        <w:jc w:val="both"/>
        <w:rPr>
          <w:rFonts w:ascii="Garamond" w:hAnsi="Garamond"/>
          <w:sz w:val="24"/>
          <w:szCs w:val="24"/>
        </w:rPr>
      </w:pPr>
      <w:r w:rsidRPr="00A3466D">
        <w:rPr>
          <w:rFonts w:ascii="Garamond" w:hAnsi="Garamond"/>
          <w:sz w:val="24"/>
          <w:szCs w:val="24"/>
        </w:rPr>
        <w:t xml:space="preserve">Sont admissibles les entreprises à but lucratif, y compris les </w:t>
      </w:r>
      <w:r>
        <w:rPr>
          <w:rFonts w:ascii="Garamond" w:hAnsi="Garamond"/>
          <w:sz w:val="24"/>
          <w:szCs w:val="24"/>
        </w:rPr>
        <w:t xml:space="preserve">travailleurs autonomes, les </w:t>
      </w:r>
      <w:r w:rsidRPr="00A3466D">
        <w:rPr>
          <w:rFonts w:ascii="Garamond" w:hAnsi="Garamond"/>
          <w:sz w:val="24"/>
          <w:szCs w:val="24"/>
        </w:rPr>
        <w:t>coopératives et les entreprises de</w:t>
      </w:r>
      <w:r>
        <w:rPr>
          <w:rFonts w:ascii="Garamond" w:hAnsi="Garamond"/>
          <w:sz w:val="24"/>
          <w:szCs w:val="24"/>
        </w:rPr>
        <w:t xml:space="preserve"> </w:t>
      </w:r>
      <w:r w:rsidRPr="00A3466D">
        <w:rPr>
          <w:rFonts w:ascii="Garamond" w:hAnsi="Garamond"/>
          <w:sz w:val="24"/>
          <w:szCs w:val="24"/>
        </w:rPr>
        <w:t>l’économie sociale ayant des activités marchandes affectées par la pandémie de la COVID-19 à</w:t>
      </w:r>
      <w:r>
        <w:rPr>
          <w:rFonts w:ascii="Garamond" w:hAnsi="Garamond"/>
          <w:sz w:val="24"/>
          <w:szCs w:val="24"/>
        </w:rPr>
        <w:t xml:space="preserve"> </w:t>
      </w:r>
      <w:r w:rsidRPr="00A3466D">
        <w:rPr>
          <w:rFonts w:ascii="Garamond" w:hAnsi="Garamond"/>
          <w:sz w:val="24"/>
          <w:szCs w:val="24"/>
        </w:rPr>
        <w:t>l’exception des activités suivantes</w:t>
      </w:r>
      <w:r>
        <w:rPr>
          <w:rFonts w:ascii="Garamond" w:hAnsi="Garamond"/>
          <w:sz w:val="24"/>
          <w:szCs w:val="24"/>
        </w:rPr>
        <w:t> :</w:t>
      </w:r>
    </w:p>
    <w:p w:rsidR="00987E00" w:rsidRPr="00BA20A2" w:rsidRDefault="00987E00" w:rsidP="00987E00">
      <w:pPr>
        <w:numPr>
          <w:ilvl w:val="0"/>
          <w:numId w:val="17"/>
        </w:numPr>
        <w:spacing w:line="300" w:lineRule="atLeast"/>
        <w:rPr>
          <w:rFonts w:ascii="Garamond" w:hAnsi="Garamond"/>
          <w:sz w:val="24"/>
          <w:szCs w:val="24"/>
        </w:rPr>
      </w:pPr>
      <w:r w:rsidRPr="00BA20A2">
        <w:rPr>
          <w:rFonts w:ascii="Garamond" w:hAnsi="Garamond"/>
          <w:sz w:val="24"/>
          <w:szCs w:val="24"/>
        </w:rPr>
        <w:t>L’entreprise ne doit pas être sous la protection de la Loi sur les arrangements avec les créanciers des compagnies (LRC, 1985, chapitre 36) ou de la Loi sur la faillite et l’insolvabilité (LRC, 1985, chapitre B-3).</w:t>
      </w:r>
    </w:p>
    <w:p w:rsidR="00987E00" w:rsidRPr="00BA20A2" w:rsidRDefault="00987E00" w:rsidP="00987E00">
      <w:pPr>
        <w:numPr>
          <w:ilvl w:val="0"/>
          <w:numId w:val="17"/>
        </w:numPr>
        <w:spacing w:line="300" w:lineRule="atLeast"/>
        <w:rPr>
          <w:rFonts w:ascii="Garamond" w:hAnsi="Garamond"/>
          <w:sz w:val="24"/>
          <w:szCs w:val="24"/>
        </w:rPr>
      </w:pPr>
      <w:r w:rsidRPr="00BA20A2">
        <w:rPr>
          <w:rFonts w:ascii="Garamond" w:hAnsi="Garamond"/>
          <w:sz w:val="24"/>
          <w:szCs w:val="24"/>
        </w:rPr>
        <w:t xml:space="preserve">Elle doit toutefois : </w:t>
      </w:r>
    </w:p>
    <w:p w:rsidR="00987E00" w:rsidRPr="00BA20A2" w:rsidRDefault="00987E00" w:rsidP="00987E00">
      <w:pPr>
        <w:numPr>
          <w:ilvl w:val="1"/>
          <w:numId w:val="17"/>
        </w:numPr>
        <w:spacing w:line="300" w:lineRule="atLeast"/>
        <w:rPr>
          <w:rFonts w:ascii="Garamond" w:hAnsi="Garamond"/>
          <w:sz w:val="24"/>
          <w:szCs w:val="24"/>
        </w:rPr>
      </w:pPr>
      <w:r w:rsidRPr="00BA20A2">
        <w:rPr>
          <w:rFonts w:ascii="Garamond" w:hAnsi="Garamond"/>
          <w:sz w:val="24"/>
          <w:szCs w:val="24"/>
        </w:rPr>
        <w:t>être en activité</w:t>
      </w:r>
      <w:r w:rsidR="00283B96">
        <w:rPr>
          <w:rFonts w:ascii="Garamond" w:hAnsi="Garamond"/>
          <w:sz w:val="24"/>
          <w:szCs w:val="24"/>
        </w:rPr>
        <w:t xml:space="preserve"> au Québec depuis au moins six mois</w:t>
      </w:r>
      <w:bookmarkStart w:id="0" w:name="_GoBack"/>
      <w:bookmarkEnd w:id="0"/>
      <w:r w:rsidRPr="00BA20A2">
        <w:rPr>
          <w:rFonts w:ascii="Garamond" w:hAnsi="Garamond"/>
          <w:sz w:val="24"/>
          <w:szCs w:val="24"/>
        </w:rPr>
        <w:t>;</w:t>
      </w:r>
    </w:p>
    <w:p w:rsidR="00987E00" w:rsidRPr="00BA20A2" w:rsidRDefault="00987E00" w:rsidP="00987E00">
      <w:pPr>
        <w:numPr>
          <w:ilvl w:val="1"/>
          <w:numId w:val="17"/>
        </w:numPr>
        <w:spacing w:line="300" w:lineRule="atLeast"/>
        <w:rPr>
          <w:rFonts w:ascii="Garamond" w:hAnsi="Garamond"/>
          <w:sz w:val="24"/>
          <w:szCs w:val="24"/>
        </w:rPr>
      </w:pPr>
      <w:r w:rsidRPr="00BA20A2">
        <w:rPr>
          <w:rFonts w:ascii="Garamond" w:hAnsi="Garamond"/>
          <w:sz w:val="24"/>
          <w:szCs w:val="24"/>
        </w:rPr>
        <w:t>être fermée temporairement, susceptible de fermer ou montrer des signes avant-coureurs de fermeture;</w:t>
      </w:r>
    </w:p>
    <w:p w:rsidR="00987E00" w:rsidRPr="00BA20A2" w:rsidRDefault="00987E00" w:rsidP="00987E00">
      <w:pPr>
        <w:numPr>
          <w:ilvl w:val="1"/>
          <w:numId w:val="17"/>
        </w:numPr>
        <w:spacing w:line="300" w:lineRule="atLeast"/>
        <w:rPr>
          <w:rFonts w:ascii="Garamond" w:hAnsi="Garamond"/>
          <w:sz w:val="24"/>
          <w:szCs w:val="24"/>
        </w:rPr>
      </w:pPr>
      <w:r w:rsidRPr="00BA20A2">
        <w:rPr>
          <w:rFonts w:ascii="Garamond" w:hAnsi="Garamond"/>
          <w:sz w:val="24"/>
          <w:szCs w:val="24"/>
        </w:rPr>
        <w:t>être dans un contexte de maintien, de consolidation ou de relance de ses activités;</w:t>
      </w:r>
    </w:p>
    <w:p w:rsidR="00987E00" w:rsidRPr="00BA20A2" w:rsidRDefault="00987E00" w:rsidP="00987E00">
      <w:pPr>
        <w:numPr>
          <w:ilvl w:val="1"/>
          <w:numId w:val="17"/>
        </w:numPr>
        <w:spacing w:line="300" w:lineRule="atLeast"/>
        <w:rPr>
          <w:rFonts w:ascii="Garamond" w:hAnsi="Garamond"/>
          <w:sz w:val="24"/>
          <w:szCs w:val="24"/>
        </w:rPr>
      </w:pPr>
      <w:r w:rsidRPr="00BA20A2">
        <w:rPr>
          <w:rFonts w:ascii="Garamond" w:hAnsi="Garamond"/>
          <w:sz w:val="24"/>
          <w:szCs w:val="24"/>
        </w:rPr>
        <w:t>avoir démontré un lien de cause à effet entre ses problèmes financiers ou opérationnels et la pandémie de la COVID-19.</w:t>
      </w:r>
    </w:p>
    <w:p w:rsidR="00987E00" w:rsidRDefault="00987E00" w:rsidP="00987E00">
      <w:pPr>
        <w:spacing w:line="312" w:lineRule="auto"/>
        <w:jc w:val="both"/>
        <w:rPr>
          <w:rFonts w:ascii="Garamond" w:hAnsi="Garamond"/>
          <w:sz w:val="24"/>
          <w:szCs w:val="24"/>
        </w:rPr>
      </w:pPr>
    </w:p>
    <w:p w:rsidR="00BA20A2" w:rsidRPr="00E92038" w:rsidRDefault="00BA20A2" w:rsidP="00BA20A2">
      <w:pPr>
        <w:spacing w:line="312" w:lineRule="auto"/>
        <w:jc w:val="both"/>
        <w:rPr>
          <w:rFonts w:ascii="Garamond" w:hAnsi="Garamond"/>
          <w:i/>
          <w:sz w:val="24"/>
          <w:szCs w:val="24"/>
        </w:rPr>
      </w:pPr>
      <w:r w:rsidRPr="00E92038">
        <w:rPr>
          <w:rFonts w:ascii="Garamond" w:hAnsi="Garamond"/>
          <w:i/>
          <w:sz w:val="24"/>
          <w:szCs w:val="24"/>
        </w:rPr>
        <w:t>Les industries et entreprises suivantes sont exclues de la mesure</w:t>
      </w:r>
      <w:r>
        <w:rPr>
          <w:rFonts w:ascii="Garamond" w:hAnsi="Garamond"/>
          <w:i/>
          <w:sz w:val="24"/>
          <w:szCs w:val="24"/>
        </w:rPr>
        <w:t xml:space="preserve"> </w:t>
      </w:r>
      <w:r w:rsidRPr="00E92038">
        <w:rPr>
          <w:rFonts w:ascii="Garamond" w:hAnsi="Garamond"/>
          <w:i/>
          <w:sz w:val="24"/>
          <w:szCs w:val="24"/>
        </w:rPr>
        <w:t>:</w:t>
      </w:r>
    </w:p>
    <w:tbl>
      <w:tblPr>
        <w:tblStyle w:val="Grilledutableau"/>
        <w:tblW w:w="9351" w:type="dxa"/>
        <w:tblLook w:val="04A0" w:firstRow="1" w:lastRow="0" w:firstColumn="1" w:lastColumn="0" w:noHBand="0" w:noVBand="1"/>
      </w:tblPr>
      <w:tblGrid>
        <w:gridCol w:w="9351"/>
      </w:tblGrid>
      <w:tr w:rsidR="00BA20A2" w:rsidRPr="00EB341C" w:rsidTr="009C1021">
        <w:tc>
          <w:tcPr>
            <w:tcW w:w="9351" w:type="dxa"/>
            <w:shd w:val="clear" w:color="auto" w:fill="DEEAF6" w:themeFill="accent1" w:themeFillTint="33"/>
          </w:tcPr>
          <w:p w:rsidR="00BA20A2" w:rsidRPr="0012428E" w:rsidRDefault="00BA20A2" w:rsidP="00784E85">
            <w:pPr>
              <w:jc w:val="center"/>
              <w:rPr>
                <w:rFonts w:ascii="Garamond" w:hAnsi="Garamond"/>
                <w:b/>
                <w:sz w:val="24"/>
                <w:szCs w:val="24"/>
              </w:rPr>
            </w:pPr>
            <w:r w:rsidRPr="0012428E">
              <w:rPr>
                <w:rFonts w:ascii="Garamond" w:hAnsi="Garamond"/>
                <w:b/>
                <w:sz w:val="24"/>
                <w:szCs w:val="24"/>
              </w:rPr>
              <w:t>Exclusions</w:t>
            </w:r>
          </w:p>
        </w:tc>
      </w:tr>
      <w:tr w:rsidR="009C1021" w:rsidRPr="00EB341C" w:rsidTr="009C1021">
        <w:tc>
          <w:tcPr>
            <w:tcW w:w="9351" w:type="dxa"/>
          </w:tcPr>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ou distribution d’armes;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Les jeux de hasard et d'argent, les sports de combat, les courses ou autres activités</w:t>
            </w:r>
            <w:r w:rsidRPr="00966BC1">
              <w:rPr>
                <w:rFonts w:ascii="Garamond" w:hAnsi="Garamond" w:cs="Arial"/>
                <w:bCs/>
              </w:rPr>
              <w:br/>
              <w:t>similaires;</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La production, la vente et les services liés à la consommation de tabac ou de drogues à</w:t>
            </w:r>
            <w:r w:rsidRPr="00966BC1">
              <w:rPr>
                <w:rFonts w:ascii="Garamond" w:hAnsi="Garamond" w:cs="Arial"/>
                <w:bCs/>
              </w:rPr>
              <w:br/>
              <w:t>l’exception des projets visant les produits de grade pharmaceutique homologués par Santé</w:t>
            </w:r>
            <w:r w:rsidRPr="00966BC1">
              <w:rPr>
                <w:rFonts w:ascii="Garamond" w:hAnsi="Garamond" w:cs="Arial"/>
                <w:bCs/>
              </w:rPr>
              <w:br/>
              <w:t>Canada avec DIN, ou leurs ingrédients, et les projets de recherche et développement avec</w:t>
            </w:r>
            <w:r w:rsidRPr="00966BC1">
              <w:rPr>
                <w:rFonts w:ascii="Garamond" w:hAnsi="Garamond" w:cs="Arial"/>
                <w:bCs/>
              </w:rPr>
              <w:br/>
              <w:t>une licence de Santé Canada;</w:t>
            </w:r>
          </w:p>
          <w:p w:rsid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Toute activité dont l’objet principal est protégé par la Charte canadienne des droits et libertés</w:t>
            </w:r>
            <w:r w:rsidRPr="00966BC1">
              <w:rPr>
                <w:rFonts w:ascii="Garamond" w:hAnsi="Garamond" w:cs="Arial"/>
                <w:bCs/>
              </w:rPr>
              <w:br/>
              <w:t>(religion, politique, défense de droits, etc.);</w:t>
            </w:r>
          </w:p>
          <w:p w:rsidR="00966BC1" w:rsidRPr="00966BC1" w:rsidRDefault="00966BC1" w:rsidP="00966BC1">
            <w:pPr>
              <w:pStyle w:val="Paragraphedeliste"/>
              <w:numPr>
                <w:ilvl w:val="0"/>
                <w:numId w:val="5"/>
              </w:numPr>
              <w:autoSpaceDE/>
              <w:autoSpaceDN/>
              <w:adjustRightInd/>
              <w:spacing w:line="288" w:lineRule="auto"/>
              <w:ind w:left="164" w:hanging="187"/>
              <w:rPr>
                <w:rFonts w:ascii="Garamond" w:hAnsi="Garamond" w:cs="Arial"/>
                <w:bCs/>
              </w:rPr>
            </w:pPr>
            <w:r w:rsidRPr="00966BC1">
              <w:rPr>
                <w:rFonts w:ascii="Garamond" w:hAnsi="Garamond" w:cs="Arial"/>
                <w:bCs/>
              </w:rPr>
              <w:t xml:space="preserve">Toute autre activité qui serait de nature </w:t>
            </w:r>
            <w:r w:rsidR="005629D6">
              <w:rPr>
                <w:rFonts w:ascii="Garamond" w:hAnsi="Garamond" w:cs="Arial"/>
                <w:bCs/>
              </w:rPr>
              <w:t>à porter atteinte à la moralité;</w:t>
            </w:r>
          </w:p>
          <w:p w:rsidR="009C1021" w:rsidRPr="00966BC1" w:rsidRDefault="009C1021" w:rsidP="005629D6">
            <w:pPr>
              <w:pStyle w:val="Paragraphedeliste"/>
              <w:numPr>
                <w:ilvl w:val="0"/>
                <w:numId w:val="5"/>
              </w:numPr>
              <w:autoSpaceDE/>
              <w:autoSpaceDN/>
              <w:adjustRightInd/>
              <w:spacing w:line="288" w:lineRule="auto"/>
              <w:ind w:left="164" w:hanging="187"/>
              <w:jc w:val="both"/>
              <w:rPr>
                <w:rFonts w:ascii="Garamond" w:hAnsi="Garamond" w:cs="Arial"/>
                <w:bCs/>
              </w:rPr>
            </w:pPr>
            <w:r w:rsidRPr="008E3442">
              <w:rPr>
                <w:rFonts w:ascii="Garamond" w:hAnsi="Garamond" w:cs="Arial"/>
                <w:bCs/>
              </w:rPr>
              <w:t>Les entreprises</w:t>
            </w:r>
            <w:r w:rsidR="005629D6">
              <w:rPr>
                <w:rFonts w:ascii="Garamond" w:hAnsi="Garamond" w:cs="Arial"/>
                <w:bCs/>
              </w:rPr>
              <w:t xml:space="preserve"> bénéficiant du programme PACTE.</w:t>
            </w:r>
          </w:p>
        </w:tc>
      </w:tr>
    </w:tbl>
    <w:p w:rsidR="00BA20A2" w:rsidRDefault="00BA20A2" w:rsidP="00987E00">
      <w:pPr>
        <w:spacing w:line="312" w:lineRule="auto"/>
        <w:jc w:val="both"/>
        <w:rPr>
          <w:rFonts w:ascii="Garamond" w:hAnsi="Garamond"/>
          <w:sz w:val="24"/>
          <w:szCs w:val="24"/>
        </w:rPr>
      </w:pPr>
    </w:p>
    <w:p w:rsidR="00BA20A2" w:rsidRPr="009E2DC6" w:rsidRDefault="006A18A9" w:rsidP="00BA20A2">
      <w:pPr>
        <w:pStyle w:val="Titre3"/>
        <w:numPr>
          <w:ilvl w:val="0"/>
          <w:numId w:val="7"/>
        </w:numPr>
        <w:rPr>
          <w:u w:val="single"/>
        </w:rPr>
      </w:pPr>
      <w:r>
        <w:rPr>
          <w:u w:val="single"/>
        </w:rPr>
        <w:t>Type d’aide admissible</w:t>
      </w:r>
    </w:p>
    <w:p w:rsidR="00BA20A2" w:rsidRPr="00EB341C" w:rsidRDefault="00BA20A2" w:rsidP="00BA20A2">
      <w:pPr>
        <w:pStyle w:val="Paragraphedeliste"/>
        <w:ind w:left="1080"/>
        <w:jc w:val="both"/>
        <w:rPr>
          <w:rFonts w:ascii="Garamond" w:hAnsi="Garamond"/>
        </w:rPr>
      </w:pPr>
    </w:p>
    <w:p w:rsidR="00BA20A2" w:rsidRPr="00170728" w:rsidRDefault="00BA20A2" w:rsidP="006A18A9">
      <w:pPr>
        <w:numPr>
          <w:ilvl w:val="0"/>
          <w:numId w:val="4"/>
        </w:numPr>
        <w:tabs>
          <w:tab w:val="clear" w:pos="720"/>
          <w:tab w:val="left" w:pos="-1080"/>
          <w:tab w:val="left" w:pos="-72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right="544" w:hanging="284"/>
        <w:jc w:val="both"/>
        <w:rPr>
          <w:rFonts w:ascii="Garamond" w:hAnsi="Garamond"/>
          <w:b/>
          <w:sz w:val="24"/>
          <w:szCs w:val="24"/>
        </w:rPr>
      </w:pPr>
      <w:r>
        <w:rPr>
          <w:rFonts w:ascii="Garamond" w:hAnsi="Garamond"/>
          <w:b/>
          <w:sz w:val="24"/>
          <w:szCs w:val="24"/>
        </w:rPr>
        <w:lastRenderedPageBreak/>
        <w:t>Fonds de roulement</w:t>
      </w:r>
    </w:p>
    <w:p w:rsidR="00BA20A2" w:rsidRPr="000D4769" w:rsidRDefault="00BA20A2" w:rsidP="00BA20A2">
      <w:pPr>
        <w:tabs>
          <w:tab w:val="left" w:pos="-1080"/>
          <w:tab w:val="left" w:pos="-72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right="544"/>
        <w:jc w:val="both"/>
        <w:rPr>
          <w:rFonts w:ascii="Garamond" w:hAnsi="Garamond"/>
          <w:sz w:val="24"/>
          <w:szCs w:val="24"/>
        </w:rPr>
      </w:pPr>
    </w:p>
    <w:p w:rsidR="006A18A9" w:rsidRPr="006A18A9" w:rsidRDefault="006A18A9" w:rsidP="006A18A9">
      <w:pPr>
        <w:spacing w:line="300" w:lineRule="atLeast"/>
        <w:rPr>
          <w:rFonts w:ascii="Garamond" w:hAnsi="Garamond"/>
          <w:sz w:val="24"/>
          <w:szCs w:val="24"/>
        </w:rPr>
      </w:pPr>
      <w:r w:rsidRPr="006A18A9">
        <w:rPr>
          <w:rFonts w:ascii="Garamond" w:hAnsi="Garamond"/>
          <w:sz w:val="24"/>
          <w:szCs w:val="24"/>
        </w:rPr>
        <w:t xml:space="preserve">Les fonds octroyés doivent </w:t>
      </w:r>
      <w:r w:rsidR="00BA20A2" w:rsidRPr="006A18A9">
        <w:rPr>
          <w:rFonts w:ascii="Garamond" w:hAnsi="Garamond"/>
          <w:sz w:val="24"/>
          <w:szCs w:val="24"/>
        </w:rPr>
        <w:t>permet</w:t>
      </w:r>
      <w:r w:rsidRPr="006A18A9">
        <w:rPr>
          <w:rFonts w:ascii="Garamond" w:hAnsi="Garamond"/>
          <w:sz w:val="24"/>
          <w:szCs w:val="24"/>
        </w:rPr>
        <w:t>tre</w:t>
      </w:r>
      <w:r w:rsidR="00BA20A2" w:rsidRPr="006A18A9">
        <w:rPr>
          <w:rFonts w:ascii="Garamond" w:hAnsi="Garamond"/>
          <w:sz w:val="24"/>
          <w:szCs w:val="24"/>
        </w:rPr>
        <w:t xml:space="preserve"> de</w:t>
      </w:r>
      <w:r w:rsidRPr="006A18A9">
        <w:rPr>
          <w:rFonts w:ascii="Garamond" w:hAnsi="Garamond"/>
          <w:sz w:val="24"/>
          <w:szCs w:val="24"/>
        </w:rPr>
        <w:t> :</w:t>
      </w:r>
    </w:p>
    <w:p w:rsidR="006A18A9" w:rsidRPr="006A18A9" w:rsidRDefault="00BA20A2" w:rsidP="006A18A9">
      <w:pPr>
        <w:pStyle w:val="Paragraphedeliste"/>
        <w:numPr>
          <w:ilvl w:val="1"/>
          <w:numId w:val="4"/>
        </w:numPr>
        <w:spacing w:line="300" w:lineRule="atLeast"/>
        <w:rPr>
          <w:rFonts w:ascii="Garamond" w:hAnsi="Garamond"/>
          <w:lang w:eastAsia="fr-FR"/>
        </w:rPr>
      </w:pPr>
      <w:r w:rsidRPr="006A18A9">
        <w:rPr>
          <w:rFonts w:ascii="Garamond" w:hAnsi="Garamond"/>
          <w:lang w:eastAsia="fr-FR"/>
        </w:rPr>
        <w:t xml:space="preserve">soutenir, pour une période limitée, le fonds de roulement d’une entreprise dont la situation financière est précaire, afin qu’elle soit en mesure de maintenir, de consolider ou de relancer ses activités; </w:t>
      </w:r>
    </w:p>
    <w:p w:rsidR="006A18A9" w:rsidRPr="005629D6" w:rsidRDefault="006A18A9" w:rsidP="006A18A9">
      <w:pPr>
        <w:pStyle w:val="Paragraphedeliste"/>
        <w:numPr>
          <w:ilvl w:val="1"/>
          <w:numId w:val="4"/>
        </w:numPr>
        <w:spacing w:line="300" w:lineRule="atLeast"/>
        <w:rPr>
          <w:rFonts w:ascii="Garamond" w:hAnsi="Garamond"/>
          <w:lang w:eastAsia="fr-FR"/>
        </w:rPr>
      </w:pPr>
      <w:r w:rsidRPr="005629D6">
        <w:rPr>
          <w:rFonts w:ascii="Garamond" w:hAnsi="Garamond"/>
          <w:lang w:eastAsia="fr-FR"/>
        </w:rPr>
        <w:t>soutenir</w:t>
      </w:r>
      <w:r w:rsidR="00BA20A2" w:rsidRPr="005629D6">
        <w:rPr>
          <w:rFonts w:ascii="Garamond" w:hAnsi="Garamond"/>
          <w:lang w:eastAsia="fr-FR"/>
        </w:rPr>
        <w:t xml:space="preserve"> le besoin de liquidités de l’entreprise nécessaire au</w:t>
      </w:r>
      <w:r w:rsidRPr="005629D6">
        <w:rPr>
          <w:rFonts w:ascii="Garamond" w:hAnsi="Garamond"/>
          <w:lang w:eastAsia="fr-FR"/>
        </w:rPr>
        <w:t xml:space="preserve"> maintien de ses activités, et être</w:t>
      </w:r>
      <w:r w:rsidR="00BA20A2" w:rsidRPr="005629D6">
        <w:rPr>
          <w:rFonts w:ascii="Garamond" w:hAnsi="Garamond"/>
          <w:lang w:eastAsia="fr-FR"/>
        </w:rPr>
        <w:t xml:space="preserve"> déterminé sur la base de dépenses justifiées, raisonnables et démontrant de bonnes perspectives de rentabilité à moyen terme;</w:t>
      </w:r>
    </w:p>
    <w:p w:rsidR="006A18A9" w:rsidRPr="006A18A9" w:rsidRDefault="00BA20A2" w:rsidP="00451DE2">
      <w:pPr>
        <w:pStyle w:val="Paragraphedeliste"/>
        <w:numPr>
          <w:ilvl w:val="1"/>
          <w:numId w:val="4"/>
        </w:numPr>
        <w:spacing w:line="300" w:lineRule="atLeast"/>
        <w:rPr>
          <w:rFonts w:ascii="Garamond" w:hAnsi="Garamond"/>
          <w:lang w:eastAsia="fr-FR"/>
        </w:rPr>
      </w:pPr>
      <w:r w:rsidRPr="006A18A9">
        <w:rPr>
          <w:rFonts w:ascii="Garamond" w:hAnsi="Garamond"/>
          <w:lang w:eastAsia="fr-FR"/>
        </w:rPr>
        <w:t xml:space="preserve">pallier le manque de liquidités causé par : </w:t>
      </w:r>
    </w:p>
    <w:p w:rsidR="006A18A9" w:rsidRPr="006A18A9"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une impossibilité ou une réduction substantielle de la capacité de livrer des produits (biens ou services) ou des marchandises;</w:t>
      </w:r>
    </w:p>
    <w:p w:rsidR="00BA20A2" w:rsidRPr="006A18A9" w:rsidRDefault="00BA20A2" w:rsidP="006A18A9">
      <w:pPr>
        <w:pStyle w:val="Paragraphedeliste"/>
        <w:numPr>
          <w:ilvl w:val="2"/>
          <w:numId w:val="4"/>
        </w:numPr>
        <w:spacing w:line="300" w:lineRule="atLeast"/>
        <w:rPr>
          <w:rFonts w:ascii="Garamond" w:hAnsi="Garamond"/>
          <w:lang w:eastAsia="fr-FR"/>
        </w:rPr>
      </w:pPr>
      <w:r w:rsidRPr="006A18A9">
        <w:rPr>
          <w:rFonts w:ascii="Garamond" w:hAnsi="Garamond"/>
          <w:lang w:eastAsia="fr-FR"/>
        </w:rPr>
        <w:t>un problème d’approvisionnement en matières premières ou en produits (biens ou services).</w:t>
      </w:r>
    </w:p>
    <w:p w:rsidR="00BA20A2" w:rsidRDefault="00BA20A2" w:rsidP="00987E00">
      <w:pPr>
        <w:spacing w:line="312" w:lineRule="auto"/>
        <w:jc w:val="both"/>
        <w:rPr>
          <w:rFonts w:ascii="Garamond" w:hAnsi="Garamond"/>
          <w:sz w:val="24"/>
          <w:szCs w:val="24"/>
        </w:rPr>
      </w:pPr>
    </w:p>
    <w:p w:rsidR="00413C6B" w:rsidRPr="009E2DC6" w:rsidRDefault="00413C6B" w:rsidP="00413C6B">
      <w:pPr>
        <w:pStyle w:val="Titre3"/>
        <w:numPr>
          <w:ilvl w:val="0"/>
          <w:numId w:val="7"/>
        </w:numPr>
        <w:rPr>
          <w:u w:val="single"/>
        </w:rPr>
      </w:pPr>
      <w:r w:rsidRPr="009E2DC6">
        <w:rPr>
          <w:u w:val="single"/>
        </w:rPr>
        <w:t>Documents requis</w:t>
      </w:r>
      <w:r>
        <w:rPr>
          <w:u w:val="single"/>
        </w:rPr>
        <w:t xml:space="preserve"> pour évaluer l’admissibilité</w:t>
      </w:r>
    </w:p>
    <w:p w:rsidR="00413C6B" w:rsidRPr="008F1E84" w:rsidRDefault="00413C6B" w:rsidP="00413C6B">
      <w:pPr>
        <w:jc w:val="both"/>
        <w:rPr>
          <w:rFonts w:ascii="Garamond" w:hAnsi="Garamond"/>
        </w:rPr>
      </w:pPr>
    </w:p>
    <w:p w:rsidR="00413C6B" w:rsidRPr="0065614B" w:rsidRDefault="00413C6B" w:rsidP="0065614B">
      <w:pPr>
        <w:pStyle w:val="Paragraphedeliste"/>
        <w:numPr>
          <w:ilvl w:val="0"/>
          <w:numId w:val="4"/>
        </w:numPr>
        <w:jc w:val="both"/>
        <w:rPr>
          <w:rFonts w:ascii="Garamond" w:hAnsi="Garamond"/>
        </w:rPr>
      </w:pPr>
      <w:r w:rsidRPr="0065614B">
        <w:rPr>
          <w:rFonts w:ascii="Garamond" w:hAnsi="Garamond"/>
        </w:rPr>
        <w:t>Les derniers états financiers annuels et les états financiers intérimaires.</w:t>
      </w:r>
    </w:p>
    <w:p w:rsidR="00413C6B" w:rsidRPr="0065614B" w:rsidRDefault="00413C6B" w:rsidP="0065614B">
      <w:pPr>
        <w:pStyle w:val="Paragraphedeliste"/>
        <w:numPr>
          <w:ilvl w:val="0"/>
          <w:numId w:val="4"/>
        </w:numPr>
        <w:jc w:val="both"/>
        <w:rPr>
          <w:rFonts w:ascii="Garamond" w:hAnsi="Garamond"/>
        </w:rPr>
      </w:pPr>
      <w:r w:rsidRPr="0065614B">
        <w:rPr>
          <w:rFonts w:ascii="Garamond" w:hAnsi="Garamond"/>
        </w:rPr>
        <w:t>Des prévisions financières ou un budget de caisse.</w:t>
      </w:r>
    </w:p>
    <w:p w:rsidR="0065614B" w:rsidRPr="0065614B" w:rsidRDefault="0065614B" w:rsidP="0065614B">
      <w:pPr>
        <w:pStyle w:val="Paragraphedeliste"/>
        <w:numPr>
          <w:ilvl w:val="0"/>
          <w:numId w:val="4"/>
        </w:numPr>
        <w:jc w:val="both"/>
        <w:rPr>
          <w:rFonts w:ascii="Garamond" w:hAnsi="Garamond"/>
        </w:rPr>
      </w:pPr>
      <w:r w:rsidRPr="0065614B">
        <w:rPr>
          <w:rFonts w:ascii="Garamond" w:hAnsi="Garamond"/>
        </w:rPr>
        <w:t>Le bilan personnel du ou des promoteur(s)</w:t>
      </w:r>
    </w:p>
    <w:p w:rsidR="00413C6B" w:rsidRPr="008F1E84" w:rsidRDefault="00413C6B" w:rsidP="00413C6B">
      <w:pPr>
        <w:jc w:val="both"/>
        <w:rPr>
          <w:rFonts w:ascii="Garamond" w:hAnsi="Garamond"/>
          <w:sz w:val="24"/>
          <w:szCs w:val="24"/>
        </w:rPr>
      </w:pPr>
    </w:p>
    <w:p w:rsidR="00413C6B" w:rsidRDefault="00413C6B" w:rsidP="00413C6B">
      <w:pPr>
        <w:ind w:left="360"/>
        <w:jc w:val="both"/>
        <w:rPr>
          <w:rFonts w:ascii="Garamond" w:hAnsi="Garamond"/>
          <w:sz w:val="24"/>
          <w:szCs w:val="24"/>
        </w:rPr>
      </w:pPr>
    </w:p>
    <w:p w:rsidR="00413C6B" w:rsidRPr="00387A84" w:rsidRDefault="00413C6B" w:rsidP="00413C6B">
      <w:pPr>
        <w:pStyle w:val="Titre3"/>
        <w:numPr>
          <w:ilvl w:val="0"/>
          <w:numId w:val="7"/>
        </w:numPr>
        <w:rPr>
          <w:u w:val="single"/>
        </w:rPr>
      </w:pPr>
      <w:r w:rsidRPr="00387A84">
        <w:rPr>
          <w:u w:val="single"/>
        </w:rPr>
        <w:t>Procédure d’application Partenaires, Professionnels et Clients</w:t>
      </w:r>
    </w:p>
    <w:p w:rsidR="00413C6B" w:rsidRPr="00EB341C" w:rsidRDefault="00413C6B" w:rsidP="00413C6B">
      <w:pPr>
        <w:jc w:val="both"/>
        <w:rPr>
          <w:rFonts w:ascii="Garamond" w:hAnsi="Garamond"/>
          <w:sz w:val="24"/>
          <w:szCs w:val="24"/>
        </w:rPr>
      </w:pPr>
    </w:p>
    <w:p w:rsidR="00413C6B" w:rsidRPr="00805EAB" w:rsidRDefault="00413C6B" w:rsidP="00413C6B">
      <w:pPr>
        <w:pStyle w:val="Paragraphedeliste"/>
        <w:numPr>
          <w:ilvl w:val="0"/>
          <w:numId w:val="16"/>
        </w:numPr>
        <w:rPr>
          <w:rFonts w:eastAsiaTheme="minorHAnsi"/>
          <w:iCs/>
          <w:color w:val="404040"/>
          <w:lang w:val="fr-FR"/>
        </w:rPr>
      </w:pPr>
      <w:r w:rsidRPr="00805EAB">
        <w:rPr>
          <w:rFonts w:eastAsiaTheme="minorHAnsi"/>
          <w:iCs/>
          <w:color w:val="404040"/>
          <w:lang w:val="fr-FR"/>
        </w:rPr>
        <w:t xml:space="preserve">Les entreprises dans le besoin face à cette mesure devront être référées à </w:t>
      </w:r>
      <w:r w:rsidRPr="00805EAB">
        <w:rPr>
          <w:rFonts w:eastAsiaTheme="minorHAnsi"/>
          <w:i/>
          <w:iCs/>
          <w:color w:val="404040"/>
          <w:lang w:val="fr-FR"/>
        </w:rPr>
        <w:t>Francois Bujold, Conseill</w:t>
      </w:r>
      <w:r>
        <w:rPr>
          <w:rFonts w:eastAsiaTheme="minorHAnsi"/>
          <w:i/>
          <w:iCs/>
          <w:color w:val="404040"/>
          <w:lang w:val="fr-FR"/>
        </w:rPr>
        <w:t xml:space="preserve">er aux entreprises : </w:t>
      </w:r>
      <w:hyperlink r:id="rId8" w:history="1">
        <w:r w:rsidRPr="00950F24">
          <w:rPr>
            <w:rStyle w:val="Lienhypertexte"/>
            <w:rFonts w:eastAsiaTheme="minorHAnsi"/>
            <w:i/>
            <w:iCs/>
            <w:lang w:val="fr-FR"/>
          </w:rPr>
          <w:t>fbujold@mrcbonaventure.com</w:t>
        </w:r>
      </w:hyperlink>
      <w:r>
        <w:rPr>
          <w:rFonts w:eastAsiaTheme="minorHAnsi"/>
          <w:i/>
          <w:iCs/>
          <w:color w:val="404040"/>
          <w:lang w:val="fr-FR"/>
        </w:rPr>
        <w:t>,</w:t>
      </w:r>
      <w:r w:rsidRPr="00E12FD7">
        <w:rPr>
          <w:rFonts w:ascii="Tahoma" w:hAnsi="Tahoma" w:cs="Tahoma"/>
          <w:color w:val="54585A"/>
          <w:sz w:val="22"/>
          <w:szCs w:val="22"/>
        </w:rPr>
        <w:t xml:space="preserve"> </w:t>
      </w:r>
      <w:r w:rsidRPr="00E12FD7">
        <w:rPr>
          <w:rFonts w:eastAsiaTheme="minorHAnsi"/>
          <w:i/>
          <w:iCs/>
          <w:color w:val="404040"/>
          <w:lang w:val="fr-FR"/>
        </w:rPr>
        <w:t>581 357-0126</w:t>
      </w:r>
      <w:r>
        <w:rPr>
          <w:rFonts w:eastAsiaTheme="minorHAnsi"/>
          <w:i/>
          <w:iCs/>
          <w:color w:val="404040"/>
          <w:lang w:val="fr-FR"/>
        </w:rPr>
        <w:t>.</w:t>
      </w:r>
      <w:r w:rsidRPr="00805EAB">
        <w:rPr>
          <w:rFonts w:eastAsiaTheme="minorHAnsi"/>
          <w:iCs/>
          <w:color w:val="404040"/>
          <w:lang w:val="fr-FR"/>
        </w:rPr>
        <w:t xml:space="preserve"> Celui-ci délèguera les dossiers à un des membres de l’équ</w:t>
      </w:r>
      <w:r w:rsidR="00AA55E1">
        <w:rPr>
          <w:rFonts w:eastAsiaTheme="minorHAnsi"/>
          <w:iCs/>
          <w:color w:val="404040"/>
          <w:lang w:val="fr-FR"/>
        </w:rPr>
        <w:t>ipe de développement économique ;</w:t>
      </w:r>
    </w:p>
    <w:p w:rsidR="00413C6B" w:rsidRPr="00805EAB" w:rsidRDefault="00413C6B" w:rsidP="00413C6B">
      <w:pPr>
        <w:pStyle w:val="Paragraphedeliste"/>
        <w:numPr>
          <w:ilvl w:val="0"/>
          <w:numId w:val="16"/>
        </w:numPr>
        <w:rPr>
          <w:rFonts w:eastAsiaTheme="minorHAnsi"/>
          <w:iCs/>
          <w:color w:val="404040"/>
          <w:lang w:val="fr-FR"/>
        </w:rPr>
      </w:pPr>
      <w:r w:rsidRPr="00805EAB">
        <w:rPr>
          <w:rFonts w:eastAsiaTheme="minorHAnsi"/>
          <w:iCs/>
          <w:color w:val="404040"/>
          <w:lang w:val="fr-FR"/>
        </w:rPr>
        <w:t>Les éléments suivants sont requis pour nous permettre de</w:t>
      </w:r>
      <w:r w:rsidR="00493522">
        <w:rPr>
          <w:rFonts w:eastAsiaTheme="minorHAnsi"/>
          <w:iCs/>
          <w:color w:val="404040"/>
          <w:lang w:val="fr-FR"/>
        </w:rPr>
        <w:t xml:space="preserve"> présenter la demande de prêt</w:t>
      </w:r>
      <w:r w:rsidRPr="00805EAB">
        <w:rPr>
          <w:rFonts w:eastAsiaTheme="minorHAnsi"/>
          <w:iCs/>
          <w:color w:val="404040"/>
          <w:lang w:val="fr-FR"/>
        </w:rPr>
        <w:t xml:space="preserve"> </w:t>
      </w:r>
      <w:r w:rsidR="00493522">
        <w:rPr>
          <w:rFonts w:eastAsiaTheme="minorHAnsi"/>
          <w:iCs/>
          <w:color w:val="404040"/>
          <w:lang w:val="fr-FR"/>
        </w:rPr>
        <w:t>au Comité d’Investissement</w:t>
      </w:r>
      <w:r w:rsidRPr="00805EAB">
        <w:rPr>
          <w:rFonts w:eastAsiaTheme="minorHAnsi"/>
          <w:iCs/>
          <w:color w:val="404040"/>
          <w:lang w:val="fr-FR"/>
        </w:rPr>
        <w:t> :</w:t>
      </w:r>
    </w:p>
    <w:p w:rsidR="00413C6B" w:rsidRDefault="005629D6" w:rsidP="00413C6B">
      <w:pPr>
        <w:pStyle w:val="Paragraphedeliste"/>
        <w:numPr>
          <w:ilvl w:val="1"/>
          <w:numId w:val="10"/>
        </w:numPr>
        <w:rPr>
          <w:rFonts w:eastAsiaTheme="minorHAnsi"/>
          <w:iCs/>
          <w:color w:val="404040"/>
          <w:lang w:val="fr-FR"/>
        </w:rPr>
      </w:pPr>
      <w:r>
        <w:rPr>
          <w:rFonts w:eastAsiaTheme="minorHAnsi"/>
          <w:iCs/>
          <w:color w:val="404040"/>
          <w:lang w:val="fr-FR"/>
        </w:rPr>
        <w:t xml:space="preserve">Le formulaire </w:t>
      </w:r>
      <w:r w:rsidR="00F00511">
        <w:rPr>
          <w:rFonts w:eastAsiaTheme="minorHAnsi"/>
          <w:iCs/>
          <w:color w:val="404040"/>
          <w:lang w:val="fr-FR"/>
        </w:rPr>
        <w:t>Aide d’urgence FLI</w:t>
      </w:r>
    </w:p>
    <w:p w:rsidR="00413C6B" w:rsidRDefault="00413C6B" w:rsidP="00413C6B">
      <w:pPr>
        <w:pStyle w:val="Paragraphedeliste"/>
        <w:numPr>
          <w:ilvl w:val="1"/>
          <w:numId w:val="10"/>
        </w:numPr>
        <w:rPr>
          <w:rFonts w:eastAsiaTheme="minorHAnsi"/>
          <w:iCs/>
          <w:color w:val="404040"/>
          <w:lang w:val="fr-FR"/>
        </w:rPr>
      </w:pPr>
      <w:r>
        <w:rPr>
          <w:rFonts w:eastAsiaTheme="minorHAnsi"/>
          <w:iCs/>
          <w:color w:val="404040"/>
          <w:lang w:val="fr-FR"/>
        </w:rPr>
        <w:t>Les derniers états financiers annuels et les états financiers intérimaires</w:t>
      </w:r>
    </w:p>
    <w:p w:rsidR="00413C6B" w:rsidRDefault="00C57D0A" w:rsidP="00413C6B">
      <w:pPr>
        <w:pStyle w:val="Paragraphedeliste"/>
        <w:numPr>
          <w:ilvl w:val="1"/>
          <w:numId w:val="10"/>
        </w:numPr>
        <w:rPr>
          <w:rFonts w:eastAsiaTheme="minorHAnsi"/>
          <w:iCs/>
          <w:color w:val="404040"/>
          <w:lang w:val="fr-FR"/>
        </w:rPr>
      </w:pPr>
      <w:r>
        <w:rPr>
          <w:rFonts w:eastAsiaTheme="minorHAnsi"/>
          <w:iCs/>
          <w:color w:val="404040"/>
          <w:lang w:val="fr-FR"/>
        </w:rPr>
        <w:t xml:space="preserve">Les prévisions financières ou </w:t>
      </w:r>
      <w:r w:rsidR="00BF6D6E">
        <w:rPr>
          <w:rFonts w:eastAsiaTheme="minorHAnsi"/>
          <w:iCs/>
          <w:color w:val="404040"/>
          <w:lang w:val="fr-FR"/>
        </w:rPr>
        <w:t xml:space="preserve">un </w:t>
      </w:r>
      <w:r>
        <w:rPr>
          <w:rFonts w:eastAsiaTheme="minorHAnsi"/>
          <w:iCs/>
          <w:color w:val="404040"/>
          <w:lang w:val="fr-FR"/>
        </w:rPr>
        <w:t>budget de caisse</w:t>
      </w:r>
    </w:p>
    <w:p w:rsidR="00C57D0A" w:rsidRDefault="00AA55E1" w:rsidP="00413C6B">
      <w:pPr>
        <w:pStyle w:val="Paragraphedeliste"/>
        <w:numPr>
          <w:ilvl w:val="1"/>
          <w:numId w:val="10"/>
        </w:numPr>
        <w:rPr>
          <w:rFonts w:eastAsiaTheme="minorHAnsi"/>
          <w:iCs/>
          <w:color w:val="404040"/>
          <w:lang w:val="fr-FR"/>
        </w:rPr>
      </w:pPr>
      <w:r>
        <w:rPr>
          <w:rFonts w:eastAsiaTheme="minorHAnsi"/>
          <w:iCs/>
          <w:color w:val="404040"/>
          <w:lang w:val="fr-FR"/>
        </w:rPr>
        <w:t>Le b</w:t>
      </w:r>
      <w:r w:rsidR="00C57D0A">
        <w:rPr>
          <w:rFonts w:eastAsiaTheme="minorHAnsi"/>
          <w:iCs/>
          <w:color w:val="404040"/>
          <w:lang w:val="fr-FR"/>
        </w:rPr>
        <w:t>ilan personnel</w:t>
      </w:r>
      <w:r>
        <w:rPr>
          <w:rFonts w:eastAsiaTheme="minorHAnsi"/>
          <w:iCs/>
          <w:color w:val="404040"/>
          <w:lang w:val="fr-FR"/>
        </w:rPr>
        <w:t xml:space="preserve"> du promoteur</w:t>
      </w:r>
    </w:p>
    <w:p w:rsidR="00413C6B" w:rsidRDefault="00413C6B" w:rsidP="00413C6B"/>
    <w:p w:rsidR="00413C6B" w:rsidRPr="00567710" w:rsidRDefault="00413C6B" w:rsidP="00413C6B"/>
    <w:p w:rsidR="00413C6B" w:rsidRPr="009E2DC6" w:rsidRDefault="00C57D0A" w:rsidP="00413C6B">
      <w:pPr>
        <w:pStyle w:val="Titre3"/>
        <w:numPr>
          <w:ilvl w:val="0"/>
          <w:numId w:val="7"/>
        </w:numPr>
        <w:rPr>
          <w:u w:val="single"/>
        </w:rPr>
      </w:pPr>
      <w:r>
        <w:rPr>
          <w:u w:val="single"/>
        </w:rPr>
        <w:t>Nature de l’aide</w:t>
      </w:r>
    </w:p>
    <w:p w:rsidR="00413C6B" w:rsidRPr="00EB341C" w:rsidRDefault="00413C6B" w:rsidP="00413C6B">
      <w:pPr>
        <w:rPr>
          <w:rFonts w:ascii="Garamond" w:hAnsi="Garamond"/>
        </w:rPr>
      </w:pPr>
    </w:p>
    <w:tbl>
      <w:tblPr>
        <w:tblStyle w:val="Grilledutableau1"/>
        <w:tblW w:w="9776" w:type="dxa"/>
        <w:jc w:val="center"/>
        <w:shd w:val="clear" w:color="auto" w:fill="D9E2F3" w:themeFill="accent5" w:themeFillTint="33"/>
        <w:tblLook w:val="01E0" w:firstRow="1" w:lastRow="1" w:firstColumn="1" w:lastColumn="1" w:noHBand="0" w:noVBand="0"/>
      </w:tblPr>
      <w:tblGrid>
        <w:gridCol w:w="3397"/>
        <w:gridCol w:w="6379"/>
      </w:tblGrid>
      <w:tr w:rsidR="00D9007E" w:rsidRPr="00EB341C" w:rsidTr="0047677C">
        <w:trPr>
          <w:trHeight w:val="542"/>
          <w:jc w:val="center"/>
        </w:trPr>
        <w:tc>
          <w:tcPr>
            <w:tcW w:w="9776" w:type="dxa"/>
            <w:gridSpan w:val="2"/>
            <w:tcBorders>
              <w:bottom w:val="single" w:sz="4" w:space="0" w:color="auto"/>
            </w:tcBorders>
            <w:shd w:val="clear" w:color="auto" w:fill="D9E2F3" w:themeFill="accent5" w:themeFillTint="33"/>
            <w:vAlign w:val="center"/>
          </w:tcPr>
          <w:p w:rsidR="00D9007E" w:rsidRDefault="00D9007E" w:rsidP="00AA55E1">
            <w:pPr>
              <w:spacing w:line="360" w:lineRule="auto"/>
              <w:jc w:val="center"/>
              <w:rPr>
                <w:rFonts w:ascii="Garamond" w:hAnsi="Garamond"/>
                <w:b/>
                <w:sz w:val="24"/>
                <w:szCs w:val="24"/>
              </w:rPr>
            </w:pPr>
            <w:r>
              <w:rPr>
                <w:rFonts w:ascii="Garamond" w:hAnsi="Garamond"/>
                <w:b/>
                <w:sz w:val="24"/>
                <w:szCs w:val="24"/>
              </w:rPr>
              <w:t>Prêts/Garantie de prêts FLI :</w:t>
            </w:r>
          </w:p>
          <w:p w:rsidR="00D9007E" w:rsidRPr="00EB341C" w:rsidRDefault="002A6D13" w:rsidP="0010777F">
            <w:pPr>
              <w:jc w:val="center"/>
              <w:rPr>
                <w:rFonts w:ascii="Garamond" w:hAnsi="Garamond"/>
                <w:b/>
                <w:sz w:val="24"/>
                <w:szCs w:val="24"/>
              </w:rPr>
            </w:pPr>
            <w:hyperlink r:id="rId9" w:history="1">
              <w:r w:rsidR="00D9007E" w:rsidRPr="00AA55E1">
                <w:rPr>
                  <w:rFonts w:ascii="Garamond" w:hAnsi="Garamond"/>
                  <w:b/>
                  <w:sz w:val="24"/>
                  <w:szCs w:val="24"/>
                  <w:u w:val="single"/>
                </w:rPr>
                <w:t>Aide d’urgence aux petites et moyennes entreprises</w:t>
              </w:r>
            </w:hyperlink>
          </w:p>
        </w:tc>
      </w:tr>
      <w:tr w:rsidR="00D9007E" w:rsidRPr="00EB341C" w:rsidTr="0008613D">
        <w:trPr>
          <w:jc w:val="center"/>
        </w:trPr>
        <w:tc>
          <w:tcPr>
            <w:tcW w:w="3397" w:type="dxa"/>
            <w:shd w:val="clear" w:color="auto" w:fill="D9E2F3" w:themeFill="accent5" w:themeFillTint="33"/>
            <w:vAlign w:val="center"/>
          </w:tcPr>
          <w:p w:rsidR="00D9007E" w:rsidRPr="00EB341C" w:rsidRDefault="00D9007E" w:rsidP="0010777F">
            <w:pPr>
              <w:spacing w:line="360" w:lineRule="auto"/>
              <w:rPr>
                <w:rFonts w:ascii="Garamond" w:hAnsi="Garamond"/>
                <w:b/>
                <w:sz w:val="24"/>
                <w:szCs w:val="24"/>
              </w:rPr>
            </w:pPr>
            <w:r>
              <w:rPr>
                <w:rFonts w:ascii="Garamond" w:hAnsi="Garamond"/>
                <w:b/>
                <w:sz w:val="24"/>
                <w:szCs w:val="24"/>
              </w:rPr>
              <w:t>Montant maximal par entreprise</w:t>
            </w:r>
          </w:p>
        </w:tc>
        <w:tc>
          <w:tcPr>
            <w:tcW w:w="6379" w:type="dxa"/>
            <w:shd w:val="clear" w:color="auto" w:fill="FFFFFF" w:themeFill="background1"/>
            <w:vAlign w:val="center"/>
          </w:tcPr>
          <w:p w:rsidR="00D9007E" w:rsidRPr="00EB341C" w:rsidRDefault="00D9007E" w:rsidP="00D9007E">
            <w:pPr>
              <w:spacing w:line="360" w:lineRule="auto"/>
              <w:jc w:val="center"/>
              <w:rPr>
                <w:rFonts w:ascii="Garamond" w:hAnsi="Garamond"/>
                <w:sz w:val="24"/>
                <w:szCs w:val="24"/>
              </w:rPr>
            </w:pPr>
            <w:r w:rsidRPr="00EB341C">
              <w:rPr>
                <w:rFonts w:ascii="Garamond" w:hAnsi="Garamond"/>
                <w:sz w:val="24"/>
                <w:szCs w:val="24"/>
              </w:rPr>
              <w:t>50 000 $</w:t>
            </w:r>
          </w:p>
        </w:tc>
      </w:tr>
      <w:tr w:rsidR="00D9007E" w:rsidRPr="00EB341C" w:rsidTr="00A93B31">
        <w:trPr>
          <w:jc w:val="center"/>
        </w:trPr>
        <w:tc>
          <w:tcPr>
            <w:tcW w:w="3397"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Mise de fonds</w:t>
            </w:r>
          </w:p>
        </w:tc>
        <w:tc>
          <w:tcPr>
            <w:tcW w:w="6379" w:type="dxa"/>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Aucune</w:t>
            </w:r>
          </w:p>
        </w:tc>
      </w:tr>
      <w:tr w:rsidR="00D9007E" w:rsidRPr="00EB341C" w:rsidTr="0065614B">
        <w:trPr>
          <w:jc w:val="center"/>
        </w:trPr>
        <w:tc>
          <w:tcPr>
            <w:tcW w:w="3397"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lastRenderedPageBreak/>
              <w:t>Cumul d’aide maximal</w:t>
            </w:r>
          </w:p>
        </w:tc>
        <w:tc>
          <w:tcPr>
            <w:tcW w:w="6379" w:type="dxa"/>
            <w:shd w:val="clear" w:color="auto" w:fill="FFFFFF" w:themeFill="background1"/>
            <w:vAlign w:val="center"/>
          </w:tcPr>
          <w:p w:rsidR="00D9007E" w:rsidRDefault="00D9007E" w:rsidP="0010777F">
            <w:pPr>
              <w:spacing w:line="360" w:lineRule="auto"/>
              <w:jc w:val="center"/>
              <w:rPr>
                <w:rFonts w:ascii="Garamond" w:hAnsi="Garamond"/>
                <w:sz w:val="24"/>
                <w:szCs w:val="24"/>
              </w:rPr>
            </w:pPr>
            <w:r>
              <w:rPr>
                <w:rFonts w:ascii="Garamond" w:hAnsi="Garamond"/>
                <w:sz w:val="24"/>
                <w:szCs w:val="24"/>
              </w:rPr>
              <w:t>Aucun</w:t>
            </w:r>
          </w:p>
        </w:tc>
      </w:tr>
      <w:tr w:rsidR="00C57D0A" w:rsidRPr="00EB341C" w:rsidTr="0065614B">
        <w:trPr>
          <w:jc w:val="center"/>
        </w:trPr>
        <w:tc>
          <w:tcPr>
            <w:tcW w:w="3397" w:type="dxa"/>
            <w:shd w:val="clear" w:color="auto" w:fill="D9E2F3" w:themeFill="accent5" w:themeFillTint="33"/>
            <w:vAlign w:val="center"/>
          </w:tcPr>
          <w:p w:rsidR="00C57D0A" w:rsidRDefault="00C57D0A" w:rsidP="0010777F">
            <w:pPr>
              <w:spacing w:line="360" w:lineRule="auto"/>
              <w:rPr>
                <w:rFonts w:ascii="Garamond" w:hAnsi="Garamond"/>
                <w:b/>
                <w:sz w:val="24"/>
                <w:szCs w:val="24"/>
              </w:rPr>
            </w:pPr>
            <w:r>
              <w:rPr>
                <w:rFonts w:ascii="Garamond" w:hAnsi="Garamond"/>
                <w:b/>
                <w:sz w:val="24"/>
                <w:szCs w:val="24"/>
              </w:rPr>
              <w:t>Taux d’intérêt</w:t>
            </w:r>
          </w:p>
        </w:tc>
        <w:tc>
          <w:tcPr>
            <w:tcW w:w="6379" w:type="dxa"/>
            <w:shd w:val="clear" w:color="auto" w:fill="FFFFFF" w:themeFill="background1"/>
            <w:vAlign w:val="center"/>
          </w:tcPr>
          <w:p w:rsidR="00C57D0A" w:rsidRDefault="00C57D0A" w:rsidP="0010777F">
            <w:pPr>
              <w:spacing w:line="360" w:lineRule="auto"/>
              <w:jc w:val="center"/>
              <w:rPr>
                <w:rFonts w:ascii="Garamond" w:hAnsi="Garamond"/>
                <w:sz w:val="24"/>
                <w:szCs w:val="24"/>
              </w:rPr>
            </w:pPr>
            <w:r>
              <w:rPr>
                <w:rFonts w:ascii="Garamond" w:hAnsi="Garamond"/>
                <w:sz w:val="24"/>
                <w:szCs w:val="24"/>
              </w:rPr>
              <w:t>3%</w:t>
            </w:r>
          </w:p>
        </w:tc>
      </w:tr>
      <w:tr w:rsidR="00C57D0A" w:rsidRPr="00EB341C" w:rsidTr="0065614B">
        <w:trPr>
          <w:jc w:val="center"/>
        </w:trPr>
        <w:tc>
          <w:tcPr>
            <w:tcW w:w="3397" w:type="dxa"/>
            <w:shd w:val="clear" w:color="auto" w:fill="D9E2F3" w:themeFill="accent5" w:themeFillTint="33"/>
            <w:vAlign w:val="center"/>
          </w:tcPr>
          <w:p w:rsidR="00C57D0A" w:rsidRDefault="00684A84" w:rsidP="0010777F">
            <w:pPr>
              <w:spacing w:line="360" w:lineRule="auto"/>
              <w:rPr>
                <w:rFonts w:ascii="Garamond" w:hAnsi="Garamond"/>
                <w:b/>
                <w:sz w:val="24"/>
                <w:szCs w:val="24"/>
              </w:rPr>
            </w:pPr>
            <w:r>
              <w:rPr>
                <w:rFonts w:ascii="Garamond" w:hAnsi="Garamond"/>
                <w:b/>
                <w:sz w:val="24"/>
                <w:szCs w:val="24"/>
              </w:rPr>
              <w:t>Moratoire</w:t>
            </w:r>
          </w:p>
        </w:tc>
        <w:tc>
          <w:tcPr>
            <w:tcW w:w="6379" w:type="dxa"/>
            <w:shd w:val="clear" w:color="auto" w:fill="FFFFFF" w:themeFill="background1"/>
            <w:vAlign w:val="center"/>
          </w:tcPr>
          <w:p w:rsidR="0065614B"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 xml:space="preserve">Un moratoire de 3 mois sur le capital et les intérêts s’appliquera automatiquement. </w:t>
            </w:r>
          </w:p>
          <w:p w:rsidR="00C57D0A" w:rsidRPr="0065614B" w:rsidRDefault="00C57D0A" w:rsidP="0065614B">
            <w:pPr>
              <w:pStyle w:val="Paragraphedeliste"/>
              <w:numPr>
                <w:ilvl w:val="0"/>
                <w:numId w:val="4"/>
              </w:numPr>
              <w:spacing w:line="300" w:lineRule="atLeast"/>
              <w:rPr>
                <w:rFonts w:ascii="Garamond" w:hAnsi="Garamond"/>
              </w:rPr>
            </w:pPr>
            <w:r w:rsidRPr="0065614B">
              <w:rPr>
                <w:rFonts w:ascii="Garamond" w:hAnsi="Garamond"/>
              </w:rPr>
              <w:t>Un moratoire additionnel allant jusqu’à 12 mois sur le capital pourra être accordé</w:t>
            </w:r>
            <w:r w:rsidR="00CC3C5D" w:rsidRPr="0065614B">
              <w:rPr>
                <w:rFonts w:ascii="Garamond" w:hAnsi="Garamond"/>
              </w:rPr>
              <w:t xml:space="preserve"> au besoin</w:t>
            </w:r>
            <w:r w:rsidRPr="0065614B">
              <w:rPr>
                <w:rFonts w:ascii="Garamond" w:hAnsi="Garamond"/>
              </w:rPr>
              <w:t>.</w:t>
            </w:r>
          </w:p>
        </w:tc>
      </w:tr>
      <w:tr w:rsidR="00684A84" w:rsidRPr="00EB341C" w:rsidTr="0065614B">
        <w:trPr>
          <w:jc w:val="center"/>
        </w:trPr>
        <w:tc>
          <w:tcPr>
            <w:tcW w:w="3397" w:type="dxa"/>
            <w:shd w:val="clear" w:color="auto" w:fill="D9E2F3" w:themeFill="accent5" w:themeFillTint="33"/>
            <w:vAlign w:val="center"/>
          </w:tcPr>
          <w:p w:rsidR="00684A84" w:rsidRDefault="00CC3C5D" w:rsidP="0010777F">
            <w:pPr>
              <w:spacing w:line="360" w:lineRule="auto"/>
              <w:rPr>
                <w:rFonts w:ascii="Garamond" w:hAnsi="Garamond"/>
                <w:b/>
                <w:sz w:val="24"/>
                <w:szCs w:val="24"/>
              </w:rPr>
            </w:pPr>
            <w:r>
              <w:rPr>
                <w:rFonts w:ascii="Garamond" w:hAnsi="Garamond"/>
                <w:b/>
                <w:sz w:val="24"/>
                <w:szCs w:val="24"/>
              </w:rPr>
              <w:t>Durée</w:t>
            </w:r>
          </w:p>
        </w:tc>
        <w:tc>
          <w:tcPr>
            <w:tcW w:w="6379" w:type="dxa"/>
            <w:shd w:val="clear" w:color="auto" w:fill="FFFFFF" w:themeFill="background1"/>
            <w:vAlign w:val="center"/>
          </w:tcPr>
          <w:p w:rsidR="00684A84" w:rsidRPr="00FB3190" w:rsidRDefault="00FB3190" w:rsidP="00FB3190">
            <w:pPr>
              <w:spacing w:line="360" w:lineRule="auto"/>
              <w:jc w:val="center"/>
              <w:rPr>
                <w:rFonts w:ascii="Garamond" w:hAnsi="Garamond"/>
                <w:sz w:val="24"/>
                <w:szCs w:val="24"/>
              </w:rPr>
            </w:pPr>
            <w:r w:rsidRPr="00FB3190">
              <w:rPr>
                <w:rFonts w:ascii="Garamond" w:hAnsi="Garamond"/>
                <w:sz w:val="24"/>
                <w:szCs w:val="24"/>
              </w:rPr>
              <w:t>36 mois ex</w:t>
            </w:r>
            <w:r w:rsidR="00CC3C5D" w:rsidRPr="00FB3190">
              <w:rPr>
                <w:rFonts w:ascii="Garamond" w:hAnsi="Garamond"/>
                <w:sz w:val="24"/>
                <w:szCs w:val="24"/>
              </w:rPr>
              <w:t>cluant le moratoire</w:t>
            </w:r>
          </w:p>
          <w:p w:rsidR="00FB3190" w:rsidRPr="00FB3190" w:rsidRDefault="00FB3190" w:rsidP="00FB3190">
            <w:pPr>
              <w:pStyle w:val="Paragraphedeliste"/>
              <w:spacing w:line="300" w:lineRule="atLeast"/>
              <w:ind w:left="0"/>
              <w:jc w:val="center"/>
              <w:rPr>
                <w:rFonts w:ascii="Garamond" w:hAnsi="Garamond"/>
                <w:i/>
              </w:rPr>
            </w:pPr>
            <w:r w:rsidRPr="00FB3190">
              <w:rPr>
                <w:rFonts w:ascii="Garamond" w:hAnsi="Garamond"/>
                <w:i/>
              </w:rPr>
              <w:t>*Exceptionnellement, l’amortissement pourrait aller jusqu’à 60 mois excluant le moratoire.</w:t>
            </w:r>
          </w:p>
        </w:tc>
      </w:tr>
      <w:tr w:rsidR="00CA1AFA" w:rsidRPr="00EB341C" w:rsidTr="0065614B">
        <w:trPr>
          <w:jc w:val="center"/>
        </w:trPr>
        <w:tc>
          <w:tcPr>
            <w:tcW w:w="3397" w:type="dxa"/>
            <w:shd w:val="clear" w:color="auto" w:fill="D9E2F3" w:themeFill="accent5" w:themeFillTint="33"/>
            <w:vAlign w:val="center"/>
          </w:tcPr>
          <w:p w:rsidR="00CA1AFA" w:rsidRDefault="00D9007E" w:rsidP="0010777F">
            <w:pPr>
              <w:spacing w:line="360" w:lineRule="auto"/>
              <w:rPr>
                <w:rFonts w:ascii="Garamond" w:hAnsi="Garamond"/>
                <w:b/>
                <w:sz w:val="24"/>
                <w:szCs w:val="24"/>
              </w:rPr>
            </w:pPr>
            <w:r>
              <w:rPr>
                <w:rFonts w:ascii="Garamond" w:hAnsi="Garamond"/>
                <w:b/>
                <w:sz w:val="24"/>
                <w:szCs w:val="24"/>
              </w:rPr>
              <w:t>Déboursement</w:t>
            </w:r>
          </w:p>
        </w:tc>
        <w:tc>
          <w:tcPr>
            <w:tcW w:w="6379" w:type="dxa"/>
            <w:shd w:val="clear" w:color="auto" w:fill="FFFFFF" w:themeFill="background1"/>
            <w:vAlign w:val="center"/>
          </w:tcPr>
          <w:p w:rsidR="00CA1AFA" w:rsidRPr="00F00511" w:rsidRDefault="00F00511" w:rsidP="00F00511">
            <w:pPr>
              <w:spacing w:line="360" w:lineRule="auto"/>
              <w:jc w:val="center"/>
              <w:rPr>
                <w:rFonts w:ascii="Garamond" w:hAnsi="Garamond"/>
              </w:rPr>
            </w:pPr>
            <w:r w:rsidRPr="00F00511">
              <w:rPr>
                <w:rFonts w:ascii="Garamond" w:hAnsi="Garamond"/>
                <w:sz w:val="24"/>
                <w:szCs w:val="24"/>
              </w:rPr>
              <w:t>Un seul versement</w:t>
            </w:r>
          </w:p>
        </w:tc>
      </w:tr>
      <w:tr w:rsidR="00DD33A0" w:rsidRPr="00EB341C" w:rsidTr="0065614B">
        <w:trPr>
          <w:jc w:val="center"/>
        </w:trPr>
        <w:tc>
          <w:tcPr>
            <w:tcW w:w="3397" w:type="dxa"/>
            <w:shd w:val="clear" w:color="auto" w:fill="D9E2F3" w:themeFill="accent5" w:themeFillTint="33"/>
            <w:vAlign w:val="center"/>
          </w:tcPr>
          <w:p w:rsidR="00DD33A0" w:rsidRDefault="00DD33A0" w:rsidP="0010777F">
            <w:pPr>
              <w:spacing w:line="360" w:lineRule="auto"/>
              <w:rPr>
                <w:rFonts w:ascii="Garamond" w:hAnsi="Garamond"/>
                <w:b/>
                <w:sz w:val="24"/>
                <w:szCs w:val="24"/>
              </w:rPr>
            </w:pPr>
            <w:r>
              <w:rPr>
                <w:rFonts w:ascii="Garamond" w:hAnsi="Garamond"/>
                <w:b/>
                <w:sz w:val="24"/>
                <w:szCs w:val="24"/>
              </w:rPr>
              <w:t>Frais d’ouverture de dossier/gestion</w:t>
            </w:r>
          </w:p>
        </w:tc>
        <w:tc>
          <w:tcPr>
            <w:tcW w:w="6379" w:type="dxa"/>
            <w:shd w:val="clear" w:color="auto" w:fill="FFFFFF" w:themeFill="background1"/>
            <w:vAlign w:val="center"/>
          </w:tcPr>
          <w:p w:rsidR="00DD33A0" w:rsidRDefault="00DD33A0" w:rsidP="00CC3C5D">
            <w:pPr>
              <w:spacing w:line="300" w:lineRule="atLeast"/>
              <w:jc w:val="center"/>
              <w:rPr>
                <w:rFonts w:ascii="Garamond" w:hAnsi="Garamond"/>
                <w:sz w:val="24"/>
                <w:szCs w:val="24"/>
              </w:rPr>
            </w:pPr>
            <w:r>
              <w:rPr>
                <w:rFonts w:ascii="Garamond" w:hAnsi="Garamond"/>
                <w:sz w:val="24"/>
                <w:szCs w:val="24"/>
              </w:rPr>
              <w:t>Aucun</w:t>
            </w:r>
          </w:p>
        </w:tc>
      </w:tr>
      <w:tr w:rsidR="00F00511" w:rsidRPr="00EB341C" w:rsidTr="0065614B">
        <w:trPr>
          <w:jc w:val="center"/>
        </w:trPr>
        <w:tc>
          <w:tcPr>
            <w:tcW w:w="3397" w:type="dxa"/>
            <w:shd w:val="clear" w:color="auto" w:fill="D9E2F3" w:themeFill="accent5" w:themeFillTint="33"/>
            <w:vAlign w:val="center"/>
          </w:tcPr>
          <w:p w:rsidR="00F00511" w:rsidRDefault="00F00511" w:rsidP="0010777F">
            <w:pPr>
              <w:spacing w:line="360" w:lineRule="auto"/>
              <w:rPr>
                <w:rFonts w:ascii="Garamond" w:hAnsi="Garamond"/>
                <w:b/>
                <w:sz w:val="24"/>
                <w:szCs w:val="24"/>
              </w:rPr>
            </w:pPr>
            <w:r>
              <w:rPr>
                <w:rFonts w:ascii="Garamond" w:hAnsi="Garamond"/>
                <w:b/>
                <w:sz w:val="24"/>
                <w:szCs w:val="24"/>
              </w:rPr>
              <w:t>Remboursement</w:t>
            </w:r>
          </w:p>
        </w:tc>
        <w:tc>
          <w:tcPr>
            <w:tcW w:w="6379" w:type="dxa"/>
            <w:shd w:val="clear" w:color="auto" w:fill="FFFFFF" w:themeFill="background1"/>
            <w:vAlign w:val="center"/>
          </w:tcPr>
          <w:p w:rsidR="00F00511" w:rsidRDefault="00F00511" w:rsidP="00CC3C5D">
            <w:pPr>
              <w:spacing w:line="300" w:lineRule="atLeast"/>
              <w:jc w:val="center"/>
              <w:rPr>
                <w:rFonts w:ascii="Garamond" w:hAnsi="Garamond"/>
                <w:sz w:val="24"/>
                <w:szCs w:val="24"/>
              </w:rPr>
            </w:pPr>
            <w:r w:rsidRPr="00546F06">
              <w:rPr>
                <w:rFonts w:ascii="Garamond" w:hAnsi="Garamond"/>
                <w:sz w:val="24"/>
                <w:szCs w:val="24"/>
              </w:rPr>
              <w:t>Aucune pénalité pour remboursement anticipé</w:t>
            </w:r>
          </w:p>
        </w:tc>
      </w:tr>
      <w:tr w:rsidR="00D9007E" w:rsidRPr="00EB341C" w:rsidTr="0065614B">
        <w:trPr>
          <w:jc w:val="center"/>
        </w:trPr>
        <w:tc>
          <w:tcPr>
            <w:tcW w:w="3397" w:type="dxa"/>
            <w:shd w:val="clear" w:color="auto" w:fill="D9E2F3" w:themeFill="accent5" w:themeFillTint="33"/>
            <w:vAlign w:val="center"/>
          </w:tcPr>
          <w:p w:rsidR="00D9007E" w:rsidRDefault="00D9007E" w:rsidP="0010777F">
            <w:pPr>
              <w:spacing w:line="360" w:lineRule="auto"/>
              <w:rPr>
                <w:rFonts w:ascii="Garamond" w:hAnsi="Garamond"/>
                <w:b/>
                <w:sz w:val="24"/>
                <w:szCs w:val="24"/>
              </w:rPr>
            </w:pPr>
            <w:r>
              <w:rPr>
                <w:rFonts w:ascii="Garamond" w:hAnsi="Garamond"/>
                <w:b/>
                <w:sz w:val="24"/>
                <w:szCs w:val="24"/>
              </w:rPr>
              <w:t>Garantie</w:t>
            </w:r>
          </w:p>
        </w:tc>
        <w:tc>
          <w:tcPr>
            <w:tcW w:w="6379" w:type="dxa"/>
            <w:shd w:val="clear" w:color="auto" w:fill="FFFFFF" w:themeFill="background1"/>
            <w:vAlign w:val="center"/>
          </w:tcPr>
          <w:p w:rsidR="00D9007E" w:rsidRDefault="00D9007E" w:rsidP="00CC3C5D">
            <w:pPr>
              <w:spacing w:line="300" w:lineRule="atLeast"/>
              <w:jc w:val="center"/>
              <w:rPr>
                <w:rFonts w:ascii="Garamond" w:hAnsi="Garamond"/>
                <w:sz w:val="24"/>
                <w:szCs w:val="24"/>
              </w:rPr>
            </w:pPr>
            <w:r>
              <w:rPr>
                <w:rFonts w:ascii="Garamond" w:hAnsi="Garamond"/>
                <w:sz w:val="24"/>
                <w:szCs w:val="24"/>
              </w:rPr>
              <w:t>Caution personnelle</w:t>
            </w:r>
          </w:p>
        </w:tc>
      </w:tr>
      <w:tr w:rsidR="00C57D0A" w:rsidRPr="00EB341C" w:rsidTr="0065614B">
        <w:trPr>
          <w:jc w:val="center"/>
        </w:trPr>
        <w:tc>
          <w:tcPr>
            <w:tcW w:w="3397" w:type="dxa"/>
            <w:shd w:val="clear" w:color="auto" w:fill="D9E2F3" w:themeFill="accent5" w:themeFillTint="33"/>
            <w:vAlign w:val="center"/>
          </w:tcPr>
          <w:p w:rsidR="00C57D0A" w:rsidRDefault="00C57D0A" w:rsidP="0010777F">
            <w:pPr>
              <w:spacing w:line="360" w:lineRule="auto"/>
              <w:rPr>
                <w:rFonts w:ascii="Garamond" w:hAnsi="Garamond"/>
                <w:b/>
                <w:sz w:val="24"/>
                <w:szCs w:val="24"/>
              </w:rPr>
            </w:pPr>
            <w:r>
              <w:rPr>
                <w:rFonts w:ascii="Garamond" w:hAnsi="Garamond"/>
                <w:b/>
                <w:sz w:val="24"/>
                <w:szCs w:val="24"/>
              </w:rPr>
              <w:t>Enveloppe globale</w:t>
            </w:r>
          </w:p>
        </w:tc>
        <w:tc>
          <w:tcPr>
            <w:tcW w:w="6379" w:type="dxa"/>
            <w:shd w:val="clear" w:color="auto" w:fill="FFFFFF" w:themeFill="background1"/>
            <w:vAlign w:val="center"/>
          </w:tcPr>
          <w:p w:rsidR="00C57D0A" w:rsidRDefault="00C57D0A" w:rsidP="00AA55E1">
            <w:pPr>
              <w:spacing w:line="300" w:lineRule="atLeast"/>
              <w:jc w:val="center"/>
              <w:rPr>
                <w:rFonts w:ascii="Garamond" w:hAnsi="Garamond"/>
                <w:sz w:val="24"/>
                <w:szCs w:val="24"/>
              </w:rPr>
            </w:pPr>
            <w:r>
              <w:rPr>
                <w:rFonts w:ascii="Garamond" w:hAnsi="Garamond"/>
                <w:sz w:val="24"/>
                <w:szCs w:val="24"/>
              </w:rPr>
              <w:t>500 </w:t>
            </w:r>
            <w:r w:rsidR="00AA55E1">
              <w:rPr>
                <w:rFonts w:ascii="Garamond" w:hAnsi="Garamond"/>
                <w:sz w:val="24"/>
                <w:szCs w:val="24"/>
              </w:rPr>
              <w:t>364</w:t>
            </w:r>
            <w:r>
              <w:rPr>
                <w:rFonts w:ascii="Garamond" w:hAnsi="Garamond"/>
                <w:sz w:val="24"/>
                <w:szCs w:val="24"/>
              </w:rPr>
              <w:t xml:space="preserve"> $</w:t>
            </w:r>
          </w:p>
        </w:tc>
      </w:tr>
    </w:tbl>
    <w:p w:rsidR="00413C6B" w:rsidRDefault="00413C6B" w:rsidP="00413C6B"/>
    <w:p w:rsidR="00987E00" w:rsidRDefault="00987E00" w:rsidP="00D9007E">
      <w:pPr>
        <w:rPr>
          <w:vanish/>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995"/>
      </w:tblGrid>
      <w:tr w:rsidR="00693625" w:rsidTr="00693625">
        <w:trPr>
          <w:tblCellSpacing w:w="0" w:type="dxa"/>
          <w:jc w:val="center"/>
        </w:trPr>
        <w:tc>
          <w:tcPr>
            <w:tcW w:w="0" w:type="auto"/>
            <w:vAlign w:val="center"/>
            <w:hideMark/>
          </w:tcPr>
          <w:p w:rsidR="00693625" w:rsidRDefault="00693625">
            <w:pPr>
              <w:rPr>
                <w:rFonts w:ascii="Times New Roman" w:hAnsi="Times New Roman"/>
                <w:sz w:val="20"/>
              </w:rPr>
            </w:pPr>
          </w:p>
        </w:tc>
      </w:tr>
    </w:tbl>
    <w:p w:rsidR="00170728" w:rsidRPr="00693625" w:rsidRDefault="00170728"/>
    <w:sectPr w:rsidR="00170728" w:rsidRPr="00693625" w:rsidSect="00B52D69">
      <w:pgSz w:w="12240" w:h="15840"/>
      <w:pgMar w:top="993" w:right="175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13" w:rsidRDefault="002A6D13" w:rsidP="00387A84">
      <w:r>
        <w:separator/>
      </w:r>
    </w:p>
  </w:endnote>
  <w:endnote w:type="continuationSeparator" w:id="0">
    <w:p w:rsidR="002A6D13" w:rsidRDefault="002A6D13" w:rsidP="003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13" w:rsidRDefault="002A6D13" w:rsidP="00387A84">
      <w:r>
        <w:separator/>
      </w:r>
    </w:p>
  </w:footnote>
  <w:footnote w:type="continuationSeparator" w:id="0">
    <w:p w:rsidR="002A6D13" w:rsidRDefault="002A6D13" w:rsidP="0038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A2B"/>
    <w:multiLevelType w:val="multilevel"/>
    <w:tmpl w:val="9190B4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itre3"/>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F3093F"/>
    <w:multiLevelType w:val="hybridMultilevel"/>
    <w:tmpl w:val="335CAD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EBD149F"/>
    <w:multiLevelType w:val="multilevel"/>
    <w:tmpl w:val="592094FA"/>
    <w:lvl w:ilvl="0">
      <w:start w:val="1"/>
      <w:numFmt w:val="decimal"/>
      <w:pStyle w:val="Titre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isLgl/>
      <w:lvlText w:val="%1.%2"/>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D242ED"/>
    <w:multiLevelType w:val="multilevel"/>
    <w:tmpl w:val="60EC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87BE5"/>
    <w:multiLevelType w:val="multilevel"/>
    <w:tmpl w:val="BB54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816A5"/>
    <w:multiLevelType w:val="hybridMultilevel"/>
    <w:tmpl w:val="CCBA8174"/>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4A6095F"/>
    <w:multiLevelType w:val="hybridMultilevel"/>
    <w:tmpl w:val="FE58028A"/>
    <w:lvl w:ilvl="0" w:tplc="0C0C0017">
      <w:start w:val="1"/>
      <w:numFmt w:val="lowerLetter"/>
      <w:lvlText w:val="%1)"/>
      <w:lvlJc w:val="left"/>
      <w:pPr>
        <w:ind w:left="720" w:hanging="360"/>
      </w:pPr>
      <w:rPr>
        <w:rFonts w:hint="default"/>
      </w:rPr>
    </w:lvl>
    <w:lvl w:ilvl="1" w:tplc="0C0C001B">
      <w:start w:val="1"/>
      <w:numFmt w:val="lowerRoman"/>
      <w:lvlText w:val="%2."/>
      <w:lvlJc w:val="right"/>
      <w:pPr>
        <w:ind w:left="1440" w:hanging="360"/>
      </w:pPr>
    </w:lvl>
    <w:lvl w:ilvl="2" w:tplc="AAE483C2">
      <w:start w:val="36"/>
      <w:numFmt w:val="decimal"/>
      <w:lvlText w:val="%3"/>
      <w:lvlJc w:val="left"/>
      <w:pPr>
        <w:ind w:left="2340" w:hanging="36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A6E3BB5"/>
    <w:multiLevelType w:val="hybridMultilevel"/>
    <w:tmpl w:val="A8D8F8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CF53483"/>
    <w:multiLevelType w:val="hybridMultilevel"/>
    <w:tmpl w:val="F5AC5AD6"/>
    <w:lvl w:ilvl="0" w:tplc="413C091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6D14E8"/>
    <w:multiLevelType w:val="hybridMultilevel"/>
    <w:tmpl w:val="6CBCD7DE"/>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F6872"/>
    <w:multiLevelType w:val="hybridMultilevel"/>
    <w:tmpl w:val="8A2E7F08"/>
    <w:lvl w:ilvl="0" w:tplc="CB46CCC8">
      <w:start w:val="1"/>
      <w:numFmt w:val="lowerLetter"/>
      <w:lvlText w:val="%1)"/>
      <w:lvlJc w:val="left"/>
      <w:pPr>
        <w:ind w:left="720" w:hanging="360"/>
      </w:pPr>
      <w:rPr>
        <w:rFonts w:ascii="Times New Roman" w:hAnsi="Times New Roman"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FC37532"/>
    <w:multiLevelType w:val="hybridMultilevel"/>
    <w:tmpl w:val="835CFB7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82A36EC"/>
    <w:multiLevelType w:val="multilevel"/>
    <w:tmpl w:val="91C26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53D1F"/>
    <w:multiLevelType w:val="hybridMultilevel"/>
    <w:tmpl w:val="9BAEE5E0"/>
    <w:lvl w:ilvl="0" w:tplc="FE802D50">
      <w:numFmt w:val="bullet"/>
      <w:lvlText w:val="-"/>
      <w:lvlJc w:val="left"/>
      <w:pPr>
        <w:ind w:left="1635" w:hanging="360"/>
      </w:pPr>
      <w:rPr>
        <w:rFonts w:ascii="Times New Roman" w:eastAsia="Times New Roman" w:hAnsi="Times New Roman" w:hint="default"/>
        <w:sz w:val="24"/>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13"/>
  </w:num>
  <w:num w:numId="6">
    <w:abstractNumId w:val="8"/>
  </w:num>
  <w:num w:numId="7">
    <w:abstractNumId w:val="1"/>
  </w:num>
  <w:num w:numId="8">
    <w:abstractNumId w:val="0"/>
  </w:num>
  <w:num w:numId="9">
    <w:abstractNumId w:val="5"/>
  </w:num>
  <w:num w:numId="10">
    <w:abstractNumId w:val="6"/>
  </w:num>
  <w:num w:numId="11">
    <w:abstractNumId w:val="0"/>
  </w:num>
  <w:num w:numId="12">
    <w:abstractNumId w:val="0"/>
  </w:num>
  <w:num w:numId="13">
    <w:abstractNumId w:val="0"/>
  </w:num>
  <w:num w:numId="14">
    <w:abstractNumId w:val="0"/>
  </w:num>
  <w:num w:numId="15">
    <w:abstractNumId w:val="0"/>
  </w:num>
  <w:num w:numId="16">
    <w:abstractNumId w:val="10"/>
  </w:num>
  <w:num w:numId="17">
    <w:abstractNumId w:val="12"/>
  </w:num>
  <w:num w:numId="18">
    <w:abstractNumId w:val="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9A"/>
    <w:rsid w:val="000037CE"/>
    <w:rsid w:val="000A6140"/>
    <w:rsid w:val="0012428E"/>
    <w:rsid w:val="0015229A"/>
    <w:rsid w:val="00170728"/>
    <w:rsid w:val="00192F5B"/>
    <w:rsid w:val="00240FD6"/>
    <w:rsid w:val="00283B96"/>
    <w:rsid w:val="002A6D13"/>
    <w:rsid w:val="002D0051"/>
    <w:rsid w:val="00387A84"/>
    <w:rsid w:val="003F43FC"/>
    <w:rsid w:val="00413C6B"/>
    <w:rsid w:val="004639A1"/>
    <w:rsid w:val="00493522"/>
    <w:rsid w:val="005151A4"/>
    <w:rsid w:val="00546F06"/>
    <w:rsid w:val="005629D6"/>
    <w:rsid w:val="00567710"/>
    <w:rsid w:val="00596C33"/>
    <w:rsid w:val="005A3C9F"/>
    <w:rsid w:val="005A6A5B"/>
    <w:rsid w:val="005E689F"/>
    <w:rsid w:val="006055CA"/>
    <w:rsid w:val="00630E6B"/>
    <w:rsid w:val="00644FBE"/>
    <w:rsid w:val="0065614B"/>
    <w:rsid w:val="00682419"/>
    <w:rsid w:val="00684A84"/>
    <w:rsid w:val="00693625"/>
    <w:rsid w:val="006A18A9"/>
    <w:rsid w:val="006B7961"/>
    <w:rsid w:val="00737EA7"/>
    <w:rsid w:val="007E72E8"/>
    <w:rsid w:val="00805EAB"/>
    <w:rsid w:val="008109CF"/>
    <w:rsid w:val="00866BB4"/>
    <w:rsid w:val="0088450E"/>
    <w:rsid w:val="008E3442"/>
    <w:rsid w:val="008F1E84"/>
    <w:rsid w:val="009143A4"/>
    <w:rsid w:val="00966BC1"/>
    <w:rsid w:val="0098705E"/>
    <w:rsid w:val="00987E00"/>
    <w:rsid w:val="009B4DBC"/>
    <w:rsid w:val="009C1021"/>
    <w:rsid w:val="009C59B0"/>
    <w:rsid w:val="009E0A9E"/>
    <w:rsid w:val="009E2DC6"/>
    <w:rsid w:val="00A3466D"/>
    <w:rsid w:val="00A633C6"/>
    <w:rsid w:val="00A71FA1"/>
    <w:rsid w:val="00A76834"/>
    <w:rsid w:val="00A9168F"/>
    <w:rsid w:val="00AA55E1"/>
    <w:rsid w:val="00AC43F4"/>
    <w:rsid w:val="00B03FD6"/>
    <w:rsid w:val="00B15204"/>
    <w:rsid w:val="00B414CE"/>
    <w:rsid w:val="00B51177"/>
    <w:rsid w:val="00B52D69"/>
    <w:rsid w:val="00B54C5F"/>
    <w:rsid w:val="00B779A5"/>
    <w:rsid w:val="00BA1DAE"/>
    <w:rsid w:val="00BA20A2"/>
    <w:rsid w:val="00BA59AE"/>
    <w:rsid w:val="00BF4F99"/>
    <w:rsid w:val="00BF6D6E"/>
    <w:rsid w:val="00C26A9C"/>
    <w:rsid w:val="00C560B7"/>
    <w:rsid w:val="00C57D0A"/>
    <w:rsid w:val="00C67D5D"/>
    <w:rsid w:val="00C722AB"/>
    <w:rsid w:val="00C739BF"/>
    <w:rsid w:val="00C74EF3"/>
    <w:rsid w:val="00C74F9A"/>
    <w:rsid w:val="00CA0FCE"/>
    <w:rsid w:val="00CA1AFA"/>
    <w:rsid w:val="00CC117C"/>
    <w:rsid w:val="00CC3C5D"/>
    <w:rsid w:val="00CD05CA"/>
    <w:rsid w:val="00CE1CC3"/>
    <w:rsid w:val="00CE608C"/>
    <w:rsid w:val="00D01346"/>
    <w:rsid w:val="00D779EE"/>
    <w:rsid w:val="00D9007E"/>
    <w:rsid w:val="00DC42B2"/>
    <w:rsid w:val="00DD33A0"/>
    <w:rsid w:val="00DE42F4"/>
    <w:rsid w:val="00E12FD7"/>
    <w:rsid w:val="00E204CA"/>
    <w:rsid w:val="00E61EED"/>
    <w:rsid w:val="00E92038"/>
    <w:rsid w:val="00EA29C3"/>
    <w:rsid w:val="00EA48D9"/>
    <w:rsid w:val="00F00511"/>
    <w:rsid w:val="00F15DAC"/>
    <w:rsid w:val="00FB31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2FA5"/>
  <w15:chartTrackingRefBased/>
  <w15:docId w15:val="{C56E79F5-047B-4E6F-B2E6-1285B510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9A"/>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qFormat/>
    <w:rsid w:val="0015229A"/>
    <w:pPr>
      <w:keepNext/>
      <w:numPr>
        <w:numId w:val="1"/>
      </w:numPr>
      <w:shd w:val="clear" w:color="auto" w:fill="1F4E79" w:themeFill="accent1" w:themeFillShade="80"/>
      <w:ind w:left="567" w:hanging="567"/>
      <w:outlineLvl w:val="0"/>
    </w:pPr>
    <w:rPr>
      <w:rFonts w:ascii="Garamond" w:hAnsi="Garamond"/>
      <w:b/>
      <w:sz w:val="32"/>
    </w:rPr>
  </w:style>
  <w:style w:type="paragraph" w:styleId="Titre2">
    <w:name w:val="heading 2"/>
    <w:basedOn w:val="Normal"/>
    <w:next w:val="Normal"/>
    <w:link w:val="Titre2Car"/>
    <w:qFormat/>
    <w:rsid w:val="0015229A"/>
    <w:pPr>
      <w:keepNext/>
      <w:numPr>
        <w:ilvl w:val="1"/>
        <w:numId w:val="1"/>
      </w:numPr>
      <w:ind w:left="567" w:hanging="578"/>
      <w:outlineLvl w:val="1"/>
    </w:pPr>
    <w:rPr>
      <w:rFonts w:ascii="Garamond" w:hAnsi="Garamond" w:cs="Arial"/>
      <w:b/>
      <w:bCs/>
      <w:iCs/>
      <w:sz w:val="28"/>
      <w:szCs w:val="28"/>
    </w:rPr>
  </w:style>
  <w:style w:type="paragraph" w:styleId="Titre3">
    <w:name w:val="heading 3"/>
    <w:basedOn w:val="Normal"/>
    <w:next w:val="Normal"/>
    <w:link w:val="Titre3Car"/>
    <w:qFormat/>
    <w:rsid w:val="0015229A"/>
    <w:pPr>
      <w:keepNext/>
      <w:numPr>
        <w:ilvl w:val="2"/>
        <w:numId w:val="3"/>
      </w:numPr>
      <w:spacing w:after="60"/>
      <w:outlineLvl w:val="2"/>
    </w:pPr>
    <w:rPr>
      <w:rFonts w:ascii="Garamond" w:hAnsi="Garamond"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229A"/>
    <w:rPr>
      <w:rFonts w:ascii="Garamond" w:eastAsia="Times New Roman" w:hAnsi="Garamond" w:cs="Times New Roman"/>
      <w:b/>
      <w:sz w:val="32"/>
      <w:szCs w:val="20"/>
      <w:shd w:val="clear" w:color="auto" w:fill="1F4E79" w:themeFill="accent1" w:themeFillShade="80"/>
      <w:lang w:eastAsia="fr-FR"/>
    </w:rPr>
  </w:style>
  <w:style w:type="character" w:customStyle="1" w:styleId="Titre2Car">
    <w:name w:val="Titre 2 Car"/>
    <w:basedOn w:val="Policepardfaut"/>
    <w:link w:val="Titre2"/>
    <w:rsid w:val="0015229A"/>
    <w:rPr>
      <w:rFonts w:ascii="Garamond" w:eastAsia="Times New Roman" w:hAnsi="Garamond" w:cs="Arial"/>
      <w:b/>
      <w:bCs/>
      <w:iCs/>
      <w:sz w:val="28"/>
      <w:szCs w:val="28"/>
      <w:lang w:eastAsia="fr-FR"/>
    </w:rPr>
  </w:style>
  <w:style w:type="character" w:customStyle="1" w:styleId="Titre3Car">
    <w:name w:val="Titre 3 Car"/>
    <w:basedOn w:val="Policepardfaut"/>
    <w:link w:val="Titre3"/>
    <w:rsid w:val="0015229A"/>
    <w:rPr>
      <w:rFonts w:ascii="Garamond" w:eastAsia="Times New Roman" w:hAnsi="Garamond" w:cs="Arial"/>
      <w:b/>
      <w:bCs/>
      <w:sz w:val="26"/>
      <w:szCs w:val="26"/>
      <w:lang w:eastAsia="fr-FR"/>
    </w:rPr>
  </w:style>
  <w:style w:type="table" w:styleId="Grilledutableau">
    <w:name w:val="Table Grid"/>
    <w:basedOn w:val="TableauNormal"/>
    <w:uiPriority w:val="39"/>
    <w:rsid w:val="0015229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229A"/>
    <w:pPr>
      <w:autoSpaceDE w:val="0"/>
      <w:autoSpaceDN w:val="0"/>
      <w:adjustRightInd w:val="0"/>
      <w:ind w:left="720"/>
      <w:contextualSpacing/>
    </w:pPr>
    <w:rPr>
      <w:rFonts w:ascii="Times New Roman" w:hAnsi="Times New Roman"/>
      <w:sz w:val="24"/>
      <w:szCs w:val="24"/>
      <w:lang w:eastAsia="fr-CA"/>
    </w:rPr>
  </w:style>
  <w:style w:type="paragraph" w:styleId="En-tte">
    <w:name w:val="header"/>
    <w:basedOn w:val="Normal"/>
    <w:link w:val="En-tteCar"/>
    <w:uiPriority w:val="99"/>
    <w:unhideWhenUsed/>
    <w:rsid w:val="00387A84"/>
    <w:pPr>
      <w:tabs>
        <w:tab w:val="center" w:pos="4320"/>
        <w:tab w:val="right" w:pos="8640"/>
      </w:tabs>
    </w:pPr>
  </w:style>
  <w:style w:type="character" w:customStyle="1" w:styleId="En-tteCar">
    <w:name w:val="En-tête Car"/>
    <w:basedOn w:val="Policepardfaut"/>
    <w:link w:val="En-tte"/>
    <w:uiPriority w:val="99"/>
    <w:rsid w:val="00387A84"/>
    <w:rPr>
      <w:rFonts w:ascii="Arial" w:eastAsia="Times New Roman" w:hAnsi="Arial" w:cs="Times New Roman"/>
      <w:szCs w:val="20"/>
      <w:lang w:eastAsia="fr-FR"/>
    </w:rPr>
  </w:style>
  <w:style w:type="paragraph" w:styleId="Pieddepage">
    <w:name w:val="footer"/>
    <w:basedOn w:val="Normal"/>
    <w:link w:val="PieddepageCar"/>
    <w:uiPriority w:val="99"/>
    <w:unhideWhenUsed/>
    <w:rsid w:val="00387A84"/>
    <w:pPr>
      <w:tabs>
        <w:tab w:val="center" w:pos="4320"/>
        <w:tab w:val="right" w:pos="8640"/>
      </w:tabs>
    </w:pPr>
  </w:style>
  <w:style w:type="character" w:customStyle="1" w:styleId="PieddepageCar">
    <w:name w:val="Pied de page Car"/>
    <w:basedOn w:val="Policepardfaut"/>
    <w:link w:val="Pieddepage"/>
    <w:uiPriority w:val="99"/>
    <w:rsid w:val="00387A84"/>
    <w:rPr>
      <w:rFonts w:ascii="Arial" w:eastAsia="Times New Roman" w:hAnsi="Arial" w:cs="Times New Roman"/>
      <w:szCs w:val="20"/>
      <w:lang w:eastAsia="fr-FR"/>
    </w:rPr>
  </w:style>
  <w:style w:type="character" w:styleId="Lienhypertexte">
    <w:name w:val="Hyperlink"/>
    <w:basedOn w:val="Policepardfaut"/>
    <w:uiPriority w:val="99"/>
    <w:unhideWhenUsed/>
    <w:rsid w:val="00E12FD7"/>
    <w:rPr>
      <w:color w:val="0563C1" w:themeColor="hyperlink"/>
      <w:u w:val="single"/>
    </w:rPr>
  </w:style>
  <w:style w:type="paragraph" w:styleId="NormalWeb">
    <w:name w:val="Normal (Web)"/>
    <w:basedOn w:val="Normal"/>
    <w:uiPriority w:val="99"/>
    <w:unhideWhenUsed/>
    <w:rsid w:val="00693625"/>
    <w:pPr>
      <w:spacing w:before="100" w:beforeAutospacing="1" w:after="100" w:afterAutospacing="1"/>
    </w:pPr>
    <w:rPr>
      <w:rFonts w:ascii="Times New Roman" w:eastAsiaTheme="minorHAnsi" w:hAnsi="Times New Roman"/>
      <w:sz w:val="24"/>
      <w:szCs w:val="24"/>
      <w:lang w:eastAsia="fr-CA"/>
    </w:rPr>
  </w:style>
  <w:style w:type="table" w:customStyle="1" w:styleId="Grilledutableau1">
    <w:name w:val="Grille du tableau1"/>
    <w:basedOn w:val="TableauNormal"/>
    <w:next w:val="Grilledutableau"/>
    <w:uiPriority w:val="39"/>
    <w:rsid w:val="00C57D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966BC1"/>
    <w:rPr>
      <w:rFonts w:ascii="ArialMT" w:hAnsi="ArialMT" w:hint="default"/>
      <w:b w:val="0"/>
      <w:bCs w:val="0"/>
      <w:i w:val="0"/>
      <w:iCs w:val="0"/>
      <w:color w:val="000000"/>
      <w:sz w:val="22"/>
      <w:szCs w:val="22"/>
    </w:rPr>
  </w:style>
  <w:style w:type="character" w:customStyle="1" w:styleId="fontstyle21">
    <w:name w:val="fontstyle21"/>
    <w:basedOn w:val="Policepardfaut"/>
    <w:rsid w:val="00966BC1"/>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ujold@mrcbonaventur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dialoginsight.com/T/OFC4/L2S/7373/B970/xy95/982/13994/qGgARw/1/1288045/XWkfHoLx/I/981/UO5k7I.html?h=9T5pad1qrRVDjjjamzp-CBgyZz-Qb30UjIfwPgDnna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4143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Bourque</dc:creator>
  <cp:keywords/>
  <dc:description/>
  <cp:lastModifiedBy>Isabelle Bourque</cp:lastModifiedBy>
  <cp:revision>5</cp:revision>
  <dcterms:created xsi:type="dcterms:W3CDTF">2020-04-16T14:05:00Z</dcterms:created>
  <dcterms:modified xsi:type="dcterms:W3CDTF">2020-12-18T17:37:00Z</dcterms:modified>
</cp:coreProperties>
</file>